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8.png" ContentType="image/png"/>
  <Override PartName="/word/media/rId52.png" ContentType="image/png"/>
  <Override PartName="/word/media/rId37.png" ContentType="image/png"/>
  <Override PartName="/word/media/rId33.png" ContentType="image/png"/>
  <Override PartName="/word/media/rId24.png" ContentType="image/png"/>
  <Override PartName="/word/media/rId45.png" ContentType="image/png"/>
  <Override PartName="/word/media/rId75.png" ContentType="image/png"/>
  <Override PartName="/word/media/rId67.png" ContentType="image/png"/>
  <Override PartName="/word/media/rId62.png" ContentType="image/png"/>
  <Override PartName="/word/media/rId90.jpg" ContentType="image/jpeg"/>
  <Override PartName="/word/media/rId94.jpg" ContentType="image/jpeg"/>
  <Override PartName="/word/media/rId99.jpg" ContentType="image/jpeg"/>
  <Override PartName="/word/media/rId108.jpg" ContentType="image/jpeg"/>
  <Override PartName="/word/media/rId113.jpg" ContentType="image/jpeg"/>
  <Override PartName="/word/media/rId118.jpg" ContentType="image/jpeg"/>
  <Override PartName="/word/media/rId126.jpg" ContentType="image/jpeg"/>
  <Override PartName="/word/media/rId130.jpg" ContentType="image/jpeg"/>
  <Override PartName="/word/media/rId135.jpg" ContentType="image/jpeg"/>
  <Override PartName="/word/media/rId86.png" ContentType="image/png"/>
  <Override PartName="/word/media/rId122.png" ContentType="image/png"/>
  <Override PartName="/word/media/rId142.png" ContentType="image/png"/>
  <Override PartName="/word/media/rId153.png" ContentType="image/png"/>
  <Override PartName="/word/media/rId215.png" ContentType="image/png"/>
  <Override PartName="/word/media/rId220.png" ContentType="image/png"/>
  <Override PartName="/word/media/rId225.png" ContentType="image/png"/>
  <Override PartName="/word/media/rId231.png" ContentType="image/png"/>
  <Override PartName="/word/media/rId235.png" ContentType="image/png"/>
  <Override PartName="/word/media/rId163.png" ContentType="image/png"/>
  <Override PartName="/word/media/rId170.png" ContentType="image/png"/>
  <Override PartName="/word/media/rId188.png" ContentType="image/png"/>
  <Override PartName="/word/media/rId193.png" ContentType="image/png"/>
  <Override PartName="/word/media/rId197.png" ContentType="image/png"/>
  <Override PartName="/word/media/rId201.png" ContentType="image/png"/>
  <Override PartName="/word/media/rId205.png" ContentType="image/png"/>
  <Override PartName="/word/media/rId210.png" ContentType="image/png"/>
  <Override PartName="/word/media/rId158.png" ContentType="image/png"/>
  <Override PartName="/word/media/rId174.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 Oiry, S.,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 Oiry, S.,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End w:id="23"/>
    <w:bookmarkStart w:id="84" w:name="introduction"/>
    <w:p>
      <w:pPr>
        <w:pStyle w:val="Heading1"/>
      </w:pPr>
      <w:r>
        <w:t xml:space="preserve">1. Introduction</w:t>
      </w:r>
    </w:p>
    <w:bookmarkStart w:id="51"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Additionally, they play a pivotal role in global trade and commerce while also offering cultural and recreational value. However, their popularity and utility make them highly vulnerable to environmental pressures such as pollution, habitat destruction, and climate change impacts like sea-level rise and coastal erosion. Effective management and sustainable practices are crucial to preserving their ecological integrity and ensuring long-term viability.</w:t>
      </w:r>
    </w:p>
    <w:p>
      <w:pPr>
        <w:pStyle w:val="BodyText"/>
      </w:pPr>
      <w:r>
        <w:t xml:space="preserve">Marine vegetative habitats in intertidal zones that are exposed at low tide (such as seagrass meadows, microphytobenthos, and macroalgae) are significantly impacted by human activities. Seagrass meadows are under threat due to various anthropogenic activities</w:t>
      </w:r>
      <w:r>
        <w:t xml:space="preserve"> </w:t>
      </w:r>
      <w:r>
        <w:t xml:space="preserve">(Len J. McKenzie et al., 2020a)</w:t>
      </w:r>
      <w:r>
        <w:t xml:space="preserve">, microphytobenthos are affected by the global decline of intertidal mudflats</w:t>
      </w:r>
      <w:r>
        <w:t xml:space="preserve"> </w:t>
      </w:r>
      <w:r>
        <w:t xml:space="preserve">(Nicholas J. Murray et al., 2019a)</w:t>
      </w:r>
      <w:r>
        <w:t xml:space="preserve">, and areas colonized by macroalgae may be reduced due to the expansion of wild oysters</w:t>
      </w:r>
      <w:r>
        <w:t xml:space="preserve"> </w:t>
      </w:r>
      <w:r>
        <w:t xml:space="preserve">(Le Bris et al., 2016)</w:t>
      </w:r>
      <w:r>
        <w:t xml:space="preserve">.</w:t>
      </w:r>
    </w:p>
    <w:p>
      <w:pPr>
        <w:pStyle w:val="BodyText"/>
      </w:pPr>
      <w:r>
        <w:t xml:space="preserve">These habitats provide vital ecological functions, including coastal erosion protection through root stabilization and sediment trapping (</w:t>
      </w:r>
      <w:r>
        <w:rPr>
          <w:b/>
          <w:bCs/>
        </w:rPr>
        <w:t xml:space="preserve">refs</w:t>
      </w:r>
      <w:r>
        <w:t xml:space="preserve">), mitigation of eutrophication effects by absorbing excess nutrients and improving water quality (</w:t>
      </w:r>
      <w:r>
        <w:rPr>
          <w:b/>
          <w:bCs/>
        </w:rPr>
        <w:t xml:space="preserve">refs</w:t>
      </w:r>
      <w:r>
        <w:t xml:space="preserve">), atmospheric CO2 fixation, contributing to carbon sequestration and combating climate change (</w:t>
      </w:r>
      <w:r>
        <w:rPr>
          <w:b/>
          <w:bCs/>
        </w:rPr>
        <w:t xml:space="preserve">refs</w:t>
      </w:r>
      <w:r>
        <w:t xml:space="preserve">), serving as biodiversity hotspots that support unique flora and fauna, providing feeding, breeding, and nursery grounds for various species. Despite their ecological significance, intertidal zones, particularly mudflats, are challenging to access, and traditional field sampling methods are too time- and labor-intensive to allow repeated observations over large areas. This limitation underscores the need for advanced monitoring technologies to better assess and protect these habitats.</w:t>
      </w:r>
    </w:p>
    <w:p>
      <w:pPr>
        <w:pStyle w:val="BodyText"/>
      </w:pPr>
      <w:r>
        <w:t xml:space="preserve">Intertidal habitats, at the interface between marine and terrestrial ecosystems, face significant pressures from both anthropogenic activities and natural forces affecting both realms. Human-induced threats include coastal development, pollution, overfishing, and habitat modification, which degrade these ecosystems and diminish the valuable ecosystem services they provide. Meanwhile, natural factors such as storms, sea-level rise, climatic extreme events and climate change exacerbate these pressures, altering the structure function, and resilience of intertidal habitats. Despite their ecological importance in supporting biodiversity, providing coastal protection, and contributing to nutrient cycling, intertidal habitats remain highly vulnerable. Addressing these challenges requires robust management practices, targeted conservation strategies, and ongoing monitoring to ensure their sustainability and resilience against future pressures.</w:t>
      </w:r>
    </w:p>
    <w:bookmarkStart w:id="28"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periodically submerged and exposed by tidal activity, as well as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 The functionality of many coastal ecosystems is intrinsically linked to land-sea interactions, as observed in deltas and estuaries.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 However, these areas are also exposed to a variety of land-based and marine hazards, including storms, tropical cyclones, storm surges, tsunamis, riverine flooding, shoreline erosion, sea-level rise and biohazards such as algal blooms and pollutants.</w:t>
      </w:r>
    </w:p>
    <w:tbl>
      <w:tblPr>
        <w:tblStyle w:val="Table"/>
        <w:tblW w:type="pct" w:w="5000"/>
        <w:tblLayout w:type="fixed"/>
        <w:tblLook w:firstRow="0" w:lastRow="0" w:firstColumn="0" w:lastColumn="0" w:noHBand="0" w:noVBand="0" w:val="0000"/>
      </w:tblPr>
      <w:tblGrid>
        <w:gridCol w:w="7920"/>
      </w:tblGrid>
      <w:tr>
        <w:tc>
          <w:tcPr/>
          <w:bookmarkStart w:id="27" w:name="fig-CoastalHabitat"/>
          <w:p>
            <w:pPr>
              <w:pStyle w:val="Compact"/>
              <w:jc w:val="center"/>
            </w:pPr>
            <w:r>
              <w:drawing>
                <wp:inline>
                  <wp:extent cx="5884164" cy="4413123"/>
                  <wp:effectExtent b="0" l="0" r="0" t="0"/>
                  <wp:docPr descr="" title="" id="25" name="Picture"/>
                  <a:graphic>
                    <a:graphicData uri="http://schemas.openxmlformats.org/drawingml/2006/picture">
                      <pic:pic>
                        <pic:nvPicPr>
                          <pic:cNvPr descr="Chapter1/Figs/Picture_habitat/CoastalHabitats_Lowres.png" id="26" name="Picture"/>
                          <pic:cNvPicPr>
                            <a:picLocks noChangeArrowheads="1" noChangeAspect="1"/>
                          </pic:cNvPicPr>
                        </pic:nvPicPr>
                        <pic:blipFill>
                          <a:blip r:embed="rId24"/>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w:t>
            </w:r>
            <w:r>
              <w:t xml:space="preserve"> </w:t>
            </w:r>
            <w:r>
              <w:rPr>
                <w:b/>
                <w:bCs/>
              </w:rPr>
              <w:t xml:space="preserve">A</w:t>
            </w:r>
            <w:r>
              <w:t xml:space="preserve">: Upper shore and dunal vegetation of Pen Bron, France, on the 15th of May 2023.</w:t>
            </w:r>
            <w:r>
              <w:t xml:space="preserve"> </w:t>
            </w:r>
            <w:r>
              <w:rPr>
                <w:b/>
                <w:bCs/>
              </w:rPr>
              <w:t xml:space="preserve">B</w:t>
            </w:r>
            <w:r>
              <w:t xml:space="preserve">: Rocky shore of the Galician coastaline. Picture took at Baiona, Spain on the 1st of September 2023.</w:t>
            </w:r>
            <w:r>
              <w:t xml:space="preserve"> </w:t>
            </w:r>
            <w:r>
              <w:rPr>
                <w:b/>
                <w:bCs/>
              </w:rPr>
              <w:t xml:space="preserve">C</w:t>
            </w:r>
            <w:r>
              <w:t xml:space="preserve">: Tidal flat of the Guadlquivir river, Spain. Picture took near of Trebujena, Spain on the 22nd of March 2023.</w:t>
            </w:r>
            <w:r>
              <w:t xml:space="preserve"> </w:t>
            </w:r>
            <w:r>
              <w:rPr>
                <w:b/>
                <w:bCs/>
              </w:rPr>
              <w:t xml:space="preserve">D</w:t>
            </w:r>
            <w:r>
              <w:t xml:space="preserve">: Submerged seagrass meadows in Greece. Picture took at Nauplie, Greece on the 29th of October 2023.</w:t>
            </w:r>
          </w:p>
          <w:bookmarkEnd w:id="27"/>
        </w:tc>
      </w:tr>
    </w:tbl>
    <w:p>
      <w:pPr>
        <w:pStyle w:val="BodyText"/>
      </w:pPr>
      <w:r>
        <w:t xml:space="preserve">Coastal ecosystems provide a range of ecosystem services that are fundamental to environmental sustainability and human well-being. These ecosystems function as natural barriers against storm surges and coastal flooding, thereby mitigating the impacts of such hazards on inland regions and safeguarding human lives and infrastructure. They support significant biodiversity, serving as critical habitats and breeding grounds for numerous species, including commercially valuable fish, shellfish, and other marine organisms that sustain global fisheries. Coastal vegetation, including mangroves, salt marshes, and seagrasses, plays a crucial role in carbon sequestration by capturing and storing atmospheric carbon dioxide, thus contributing to climate change mitigation.</w:t>
      </w:r>
    </w:p>
    <w:p>
      <w:pPr>
        <w:pStyle w:val="BodyText"/>
      </w:pPr>
      <w:r>
        <w:t xml:space="preserve">Beyond their role in climate regulation, coastal ecosystems enhance water quality by filtering pollutants, sediments, and excess nutrients, thereby maintaining healthier marine and estuarine systems. These ecosystems are integral to nutrient cycling, ensuring the continued productivity of adjacent marine environments. Additionally, they provide substantial cultural, educational, and recreational opportunities, drawing global attention and fostering an intrinsic human connection to nature. This societal value contributes directly to local and regional economies through industries such as tourism, artisanal fishing, and related enterprises. Furthermore, coastal ecosystems supply essential natural resources, including seafood and plant-based materials, while supporting sustainable aquaculture practices that promote global food security and bolster local livelihoods. Collectively, these functions highlight the indispensable ecological and economic importance of coastal ecosystems.</w:t>
      </w:r>
    </w:p>
    <w:bookmarkEnd w:id="28"/>
    <w:bookmarkStart w:id="32"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Currently, approximately 2 billion people reside within 50 kilometers of coastlines, with nearly 1 billion living within 10 kilometers. This represents nearly 15% of the global population occupying only 4% of the Earth’s inhabitable landmass. Projections indicate that coastal populations will continue to rise, potentially reaching 2.9 billion by 2100 under various socioeconomic scenarios.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w:t>
      </w:r>
      <w:r>
        <w:t xml:space="preserve"> </w:t>
      </w:r>
      <w:hyperlink r:id="rId29">
        <w:r>
          <w:rPr>
            <w:rStyle w:val="Hyperlink"/>
          </w:rPr>
          <w:t xml:space="preserve">Coastal tourism</w:t>
        </w:r>
      </w:hyperlink>
      <w:r>
        <w:t xml:space="preserve"> </w:t>
      </w:r>
      <w:r>
        <w:t xml:space="preserve">is a significant driver of economic growth, particularly in regions like the European Union (EU). In 2021, the EU’s coastal tourism sector generated approximately €49.9 billion in Gross Value Added (GVA) and employed around 1.9 million people.</w:t>
      </w:r>
      <w:r>
        <w:t xml:space="preserve"> </w:t>
      </w:r>
      <w:hyperlink r:id="rId30">
        <w:r>
          <w:rPr>
            <w:rStyle w:val="Hyperlink"/>
          </w:rPr>
          <w:t xml:space="preserve">Coastal fishing</w:t>
        </w:r>
      </w:hyperlink>
      <w:r>
        <w:t xml:space="preserve"> </w:t>
      </w:r>
      <w:r>
        <w:t xml:space="preserve">and aquaculture are vital components of the global economy, providing employment to millions and contributing significantly to food security. In 2022, the combined global production of fisheries and aquaculture reached a record 223.2 million tonnes, with aquaculture alone producing an unprecedented 130.9 million tonnes. Notably, for the first time, aquaculture surpassed wild capture in aquatic animal production, accounting for 51% of the total. Additionally,</w:t>
      </w:r>
      <w:r>
        <w:t xml:space="preserve"> </w:t>
      </w:r>
      <w:hyperlink r:id="rId31">
        <w:r>
          <w:rPr>
            <w:rStyle w:val="Hyperlink"/>
          </w:rPr>
          <w:t xml:space="preserve">maritime shipping</w:t>
        </w:r>
      </w:hyperlink>
      <w:r>
        <w:t xml:space="preserve"> </w:t>
      </w:r>
      <w:r>
        <w:t xml:space="preserve">is the backbone of international trade, with approximately 80% of global trade by volume and over 70% by value transported via sea routes. This extensive reliance on maritime transport underscores the critical importance of coastal infrastructure, including ports and harbors, in facilitating the movement of goods worldwide.</w:t>
      </w:r>
      <w:r>
        <w:t xml:space="preserve"> </w:t>
      </w:r>
      <w:r>
        <w:t xml:space="preserve">However, the intensive exploitation of coastal environments for human activities has led to significant ecological challenges.</w:t>
      </w:r>
    </w:p>
    <w:p>
      <w:pPr>
        <w:pStyle w:val="BodyText"/>
      </w:pPr>
      <w:r>
        <w:t xml:space="preserve">For instance, marine shipping contributes about 3% of global greenhouse gas emissions, a figure projected to rise by up to 50% by mid-century if stringent measures are not implemented</w:t>
      </w:r>
      <w:r>
        <w:t xml:space="preserve"> </w:t>
      </w:r>
      <w:r>
        <w:t xml:space="preserve">(Jasper Faber, 2021)</w:t>
      </w:r>
      <w:r>
        <w:t xml:space="preserve">. Additionally, shipping activities lead to marine pollution, including oil spills, ballast water discharge and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occured in December 2024 in the Kerch Strait, where 3,700 tons of oil were released, underscore the persistent and significant risks. Such events highlight the necessity for stringent preventive measures and rapid response mechanisms to mitigate the ongoing threat posed by oil spills to marine environments.</w:t>
      </w:r>
      <w:r>
        <w:t xml:space="preserve"> </w:t>
      </w:r>
      <w:r>
        <w:t xml:space="preserve">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 Elevated noise levels can disrupt communication, navigation, and feeding behaviors, leading to increased stress and altered migration patterns. Chronic exposure to underwater noise can also result in physical harm and population-level impacts.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 The expansion of aquaculture operations often necessitates the conversion of coastal wetlands, particularly mangroves, into fish or shrimp ponds. This land-use change reduces the availability of essential nursery habitats for marine species and diminishes the ecosystem services provided by mangroves, such as carbon sequestration, shoreline stabilization, and water filtration. Additionally, aquaculture activities contribute to nutrient enrichment and pollution in adjacent waters through the release of uneaten feed, feces, and chemical additives, exacerbating eutrophication and altering benthic community structures. Another significant concern is the introduction of alien invasive species into the environment through aquaculture, which can disrupt local ecosystems and biodiversity.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bookmarkEnd w:id="32"/>
    <w:bookmarkStart w:id="50"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Nicholas J. Murray et al. (2019a)</w:t>
      </w:r>
      <w:r>
        <w:t xml:space="preserve"> </w:t>
      </w:r>
      <w:r>
        <w:t xml:space="preserve">using a satellite timeserie from 1984 to 2016 have shown that tidal flats have declined by approximately 16% over this period, representing a net loss of over 20,000 km² (</w:t>
      </w:r>
      <w:hyperlink w:anchor="fig-TidalFlats">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TidalFlats"/>
          <w:p>
            <w:pPr>
              <w:pStyle w:val="Compact"/>
              <w:jc w:val="center"/>
            </w:pPr>
            <w:r>
              <w:drawing>
                <wp:inline>
                  <wp:extent cx="4754880" cy="3556397"/>
                  <wp:effectExtent b="0" l="0" r="0" t="0"/>
                  <wp:docPr descr="" title="" id="34" name="Picture"/>
                  <a:graphic>
                    <a:graphicData uri="http://schemas.openxmlformats.org/drawingml/2006/picture">
                      <pic:pic>
                        <pic:nvPicPr>
                          <pic:cNvPr descr="Chapter1/Figs/Murray_Tidalflats.png" id="35" name="Picture"/>
                          <pic:cNvPicPr>
                            <a:picLocks noChangeArrowheads="1" noChangeAspect="1"/>
                          </pic:cNvPicPr>
                        </pic:nvPicPr>
                        <pic:blipFill>
                          <a:blip r:embed="rId33"/>
                          <a:stretch>
                            <a:fillRect/>
                          </a:stretch>
                        </pic:blipFill>
                        <pic:spPr bwMode="auto">
                          <a:xfrm>
                            <a:off x="0" y="0"/>
                            <a:ext cx="4754880" cy="3556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global trajectory of tidal flats extent, showing areas in which the development of consistent time-series data over 1984–2016 (orange) and 1999–2016 (orange and blue) was possible. b, Change in extent of tidal flats in 17.1% of the mapped area, 1984–2016 (linear regression, P = 0.00437). c, Change in extent of tidal flats in 61.3% of the mapped area, 1999–2016 (linear regression, P = 0.1794). Shading in b and c indicates the standard error of the linear model. From</w:t>
            </w:r>
            <w:r>
              <w:t xml:space="preserve"> </w:t>
            </w:r>
            <w:r>
              <w:t xml:space="preserve">Nicholas J. Murray et al. (2019a)</w:t>
            </w:r>
          </w:p>
          <w:bookmarkEnd w:id="36"/>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(Nicholas J. Murray et al., 2019a)</w:t>
      </w:r>
      <w:r>
        <w:t xml:space="preserve">.</w:t>
      </w:r>
    </w:p>
    <w:p>
      <w:pPr>
        <w:pStyle w:val="BodyText"/>
      </w:pPr>
      <w:r>
        <w:t xml:space="preserve">A potential solution to limit the disappearance of tidal flats is to protect the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bookmarkStart w:id="41" w:name="X57afbca97e10b713a177f4d5f1d3aa412cb80c0"/>
    <w:p>
      <w:pPr>
        <w:pStyle w:val="Heading4"/>
      </w:pPr>
      <w:r>
        <w:t xml:space="preserve">1.1.3.1 Bacillariophyceae, Euglenida and Cyanophyceae</w:t>
      </w:r>
    </w:p>
    <w:p>
      <w:pPr>
        <w:pStyle w:val="FirstParagraph"/>
      </w:pPr>
      <w:r>
        <w:t xml:space="preserve">Within estuarine biological communities, the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MPBpictures">
        <w:r>
          <w:rPr>
            <w:rStyle w:val="Hyperlink"/>
          </w:rPr>
          <w:t xml:space="preserve">Figure 1.3</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w:t>
      </w:r>
      <w:hyperlink w:anchor="fig-MPBpictures">
        <w:r>
          <w:rPr>
            <w:rStyle w:val="Hyperlink"/>
          </w:rPr>
          <w:t xml:space="preserve">Figure 1.3</w:t>
        </w:r>
      </w:hyperlink>
      <w:r>
        <w:t xml:space="preserve"> </w:t>
      </w:r>
      <w:r>
        <w:t xml:space="preserve">A) that can extend over several square kilometers</w:t>
      </w:r>
      <w:r>
        <w:t xml:space="preserve"> </w:t>
      </w:r>
      <w:r>
        <w:t xml:space="preserve">(Benyoucef et al., 2014)</w:t>
      </w:r>
      <w:r>
        <w:t xml:space="preserve">.</w:t>
      </w:r>
    </w:p>
    <w:tbl>
      <w:tblPr>
        <w:tblStyle w:val="Table"/>
        <w:tblW w:type="pct" w:w="5000"/>
        <w:tblLayout w:type="fixed"/>
        <w:tblLook w:firstRow="0" w:lastRow="0" w:firstColumn="0" w:lastColumn="0" w:noHBand="0" w:noVBand="0" w:val="0000"/>
      </w:tblPr>
      <w:tblGrid>
        <w:gridCol w:w="7920"/>
      </w:tblGrid>
      <w:tr>
        <w:tc>
          <w:tcPr/>
          <w:bookmarkStart w:id="40" w:name="fig-MPBpictures"/>
          <w:p>
            <w:pPr>
              <w:pStyle w:val="Compact"/>
              <w:jc w:val="center"/>
            </w:pPr>
            <w:r>
              <w:drawing>
                <wp:inline>
                  <wp:extent cx="5943600" cy="2359609"/>
                  <wp:effectExtent b="0" l="0" r="0" t="0"/>
                  <wp:docPr descr="" title="" id="38" name="Picture"/>
                  <a:graphic>
                    <a:graphicData uri="http://schemas.openxmlformats.org/drawingml/2006/picture">
                      <pic:pic>
                        <pic:nvPicPr>
                          <pic:cNvPr descr="Chapter1/Figs/MPB/MPB_pictures.png" id="39" name="Picture"/>
                          <pic:cNvPicPr>
                            <a:picLocks noChangeArrowheads="1" noChangeAspect="1"/>
                          </pic:cNvPicPr>
                        </pic:nvPicPr>
                        <pic:blipFill>
                          <a:blip r:embed="rId37"/>
                          <a:stretch>
                            <a:fillRect/>
                          </a:stretch>
                        </pic:blipFill>
                        <pic:spPr bwMode="auto">
                          <a:xfrm>
                            <a:off x="0" y="0"/>
                            <a:ext cx="5943600" cy="23596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Picture of the sampling of microphytobenthos biofilm in the Guadalquivir river, on the 22nd of March 2023 (A) and a single diatoms cell (B), likely</w:t>
            </w:r>
            <w:r>
              <w:t xml:space="preserve"> </w:t>
            </w:r>
            <w:r>
              <w:rPr>
                <w:i/>
                <w:iCs/>
              </w:rPr>
              <w:t xml:space="preserve">Navicula spp.</w:t>
            </w:r>
            <w:r>
              <w:t xml:space="preserve"> </w:t>
            </w:r>
            <w:r>
              <w:t xml:space="preserve">took using a scanning transmission electron microscope by Alexandre Barnett.</w:t>
            </w:r>
          </w:p>
          <w:bookmarkEnd w:id="40"/>
        </w:tc>
      </w:tr>
    </w:tbl>
    <w:p>
      <w:pPr>
        <w:pStyle w:val="BodyText"/>
      </w:pPr>
      <w:r>
        <w:t xml:space="preserve">The MPB fulfills both structural and trophic functions within intertidal mudflats. Structurally, microphytobenthic biofilms decelerate sediment resuspension and enhance mudflat stability by mitigating erosive processes</w:t>
      </w:r>
      <w:r>
        <w:t xml:space="preserve"> </w:t>
      </w:r>
      <w:r>
        <w:t xml:space="preserve">(Decho, 2000)</w:t>
      </w:r>
      <w:r>
        <w:t xml:space="preserve">. Trophically, they serve as a food resource for deposit-feeding and suspension-feeding invertebrates</w:t>
      </w:r>
      <w:r>
        <w:t xml:space="preserve"> </w:t>
      </w:r>
      <w:r>
        <w:t xml:space="preserve">(Miller et al., 1996)</w:t>
      </w:r>
      <w:r>
        <w:t xml:space="preserve">. The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the MPB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41"/>
    <w:bookmarkStart w:id="42"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
        <w:r>
          <w:rPr>
            <w:rStyle w:val="Hyperlink"/>
          </w:rPr>
          <w:t xml:space="preserve">Figure 3.2</w:t>
        </w:r>
      </w:hyperlink>
      <w:r>
        <w:t xml:space="preserve"> </w:t>
      </w:r>
      <w:r>
        <w:t xml:space="preserve">D). They are characterized by their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contributing substantially to the productivity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conditions of eutrophication—excessive nutrient enrichment—green macroalgae can proliferate excessively, leading to algal blooms. These blooms can have detrimental effects on marine ecosystems, including hypoxia (low oxygen levels) and the displacement of other important species</w:t>
      </w:r>
      <w:r>
        <w:t xml:space="preserve"> </w:t>
      </w:r>
      <w:r>
        <w:t xml:space="preserve">(Schreyers et al., 2021a; Sun et al., 2022)</w:t>
      </w:r>
      <w:r>
        <w:t xml:space="preserve">.</w:t>
      </w:r>
    </w:p>
    <w:bookmarkEnd w:id="42"/>
    <w:bookmarkStart w:id="43"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
        <w:r>
          <w:rPr>
            <w:rStyle w:val="Hyperlink"/>
          </w:rPr>
          <w:t xml:space="preserve">Figure 3.2</w:t>
        </w:r>
      </w:hyperlink>
      <w:r>
        <w:t xml:space="preserve"> </w:t>
      </w:r>
      <w:r>
        <w:t xml:space="preserve">B). Their characteristic brown coloration arises from the presence of the pigment fucoxanthin, which masks the green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but as also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43"/>
    <w:bookmarkStart w:id="44"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
        <w:r>
          <w:rPr>
            <w:rStyle w:val="Hyperlink"/>
          </w:rPr>
          <w:t xml:space="preserve">Figure 3.2</w:t>
        </w:r>
      </w:hyperlink>
      <w:r>
        <w:t xml:space="preserve"> </w:t>
      </w:r>
      <w:r>
        <w:t xml:space="preserve">C).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w:t>
      </w:r>
    </w:p>
    <w:p>
      <w:pPr>
        <w:pStyle w:val="BodyText"/>
      </w:pPr>
      <w:r>
        <w:t xml:space="preserve">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44"/>
    <w:bookmarkStart w:id="49" w:name="magnoliopsida"/>
    <w:p>
      <w:pPr>
        <w:pStyle w:val="Heading4"/>
      </w:pPr>
      <w:r>
        <w:t xml:space="preserve">1.1.3.5 Magnoliopsida</w:t>
      </w:r>
    </w:p>
    <w:p>
      <w:pPr>
        <w:pStyle w:val="FirstParagraph"/>
      </w:pPr>
      <w:r>
        <w:t xml:space="preserve">Intertidal seagrass meadows,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1.4</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w:t>
      </w:r>
      <w:r>
        <w:t xml:space="preserve"> </w:t>
      </w:r>
      <w:r>
        <w:t xml:space="preserve">Furthermore, they regulate nutrient cycles and improve water quality by trapping sediments and filtering pollutants, thus sustaining the health of adjacent marine environments</w:t>
      </w:r>
      <w:r>
        <w:t xml:space="preserve"> </w:t>
      </w:r>
      <w:r>
        <w:t xml:space="preserve">(Los Santos et al., 2019a)</w:t>
      </w:r>
      <w:r>
        <w:t xml:space="preserve">. By cycling nutrients and contributing organic matter through detritus production, intertidal seagrass meadows enhance the ecological productivity and resilience of tidal flats, underscoring their critical role in supporting both ecological functions and socio-economic benefits.</w:t>
      </w:r>
    </w:p>
    <w:p>
      <w:pPr>
        <w:pStyle w:val="BodyText"/>
      </w:pPr>
      <w:r>
        <w:t xml:space="preserve">Seagrass meadows, much like tidal flats, are undergoing significant declines on a global scale due to a variety of anthropogenic and natural stressors.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1.4</w:t>
        </w:r>
      </w:hyperlink>
      <w:r>
        <w:t xml:space="preserve"> </w:t>
      </w:r>
      <w:r>
        <w:t xml:space="preserve">(e), the proportion of publications focusing on seagrasses in the context of coastal ecosystem studies is considerably lower than those dedicated to other key habitats such as coral reefs, mangroves, and salt marshes. This disparity highlights a critical research gap, underscoring the need for increased scientific attention to better understand and mitigate the factors contributing to the degradation of these vital ecosystems.</w:t>
      </w:r>
    </w:p>
    <w:tbl>
      <w:tblPr>
        <w:tblStyle w:val="Table"/>
        <w:tblW w:type="pct" w:w="5000"/>
        <w:tblLayout w:type="fixed"/>
        <w:tblLook w:firstRow="0" w:lastRow="0" w:firstColumn="0" w:lastColumn="0" w:noHBand="0" w:noVBand="0" w:val="0000"/>
      </w:tblPr>
      <w:tblGrid>
        <w:gridCol w:w="7920"/>
      </w:tblGrid>
      <w:tr>
        <w:tc>
          <w:tcPr/>
          <w:bookmarkStart w:id="48" w:name="fig-SeagrassHabitat"/>
          <w:p>
            <w:pPr>
              <w:pStyle w:val="Compact"/>
              <w:jc w:val="center"/>
            </w:pPr>
            <w:r>
              <w:drawing>
                <wp:inline>
                  <wp:extent cx="5943600" cy="7991317"/>
                  <wp:effectExtent b="0" l="0" r="0" t="0"/>
                  <wp:docPr descr="" title="" id="46" name="Picture"/>
                  <a:graphic>
                    <a:graphicData uri="http://schemas.openxmlformats.org/drawingml/2006/picture">
                      <pic:pic>
                        <pic:nvPicPr>
                          <pic:cNvPr descr="Chapter1/Figs/Publication_habitat/Seagrass_habitats.png" id="47" name="Picture"/>
                          <pic:cNvPicPr>
                            <a:picLocks noChangeArrowheads="1" noChangeAspect="1"/>
                          </pic:cNvPicPr>
                        </pic:nvPicPr>
                        <pic:blipFill>
                          <a:blip r:embed="rId45"/>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Seagrass meadows are beautiful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Edited from</w:t>
            </w:r>
            <w:r>
              <w:t xml:space="preserve"> </w:t>
            </w:r>
            <w:r>
              <w:t xml:space="preserve">R. K. Unsworth et al. (2019)</w:t>
            </w:r>
            <w:r>
              <w:t xml:space="preserve">.</w:t>
            </w:r>
          </w:p>
          <w:bookmarkEnd w:id="48"/>
        </w:tc>
      </w:tr>
    </w:tbl>
    <w:p>
      <w:r>
        <w:br w:type="page"/>
      </w:r>
    </w:p>
    <w:bookmarkEnd w:id="49"/>
    <w:bookmarkEnd w:id="50"/>
    <w:bookmarkEnd w:id="51"/>
    <w:bookmarkStart w:id="82" w:name="concepts-of-remote-sensing"/>
    <w:p>
      <w:pPr>
        <w:pStyle w:val="Heading2"/>
      </w:pPr>
      <w:r>
        <w:t xml:space="preserve">1.2 Concepts of Remote sensing</w:t>
      </w:r>
    </w:p>
    <w:p>
      <w:pPr>
        <w:pStyle w:val="FirstParagraph"/>
      </w:pPr>
      <w:r>
        <w:t xml:space="preserve">Remote sensing (RS) defines the ability to retrieve information in a non-invasive way, without direct contact with the target. It relies on the propagation of signals, typically optical, acoustic, or microwave, between the target and the sensor. This technology has been applied in a wide variety of fields, ranging from medical imaging to detect stem cells, to the analysis of the structure of the primordial universe</w:t>
      </w:r>
      <w:r>
        <w:t xml:space="preserve"> </w:t>
      </w:r>
      <w:r>
        <w:t xml:space="preserve">(Aghanim and Dole, 2020; Zhu et al., 2021)</w:t>
      </w:r>
      <w:r>
        <w:t xml:space="preserve">. Remote sensing provides the basis to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bookmarkStart w:id="56" w:name="X1004611164fc8944b1a2e5c037f5b94a65abf23"/>
    <w:p>
      <w:pPr>
        <w:pStyle w:val="Heading3"/>
      </w:pPr>
      <w:r>
        <w:t xml:space="preserve">1.2.1 Active Remote Sensing, Exemple of the LiDAR</w:t>
      </w:r>
    </w:p>
    <w:p>
      <w:pPr>
        <w:pStyle w:val="FirstParagraph"/>
      </w:pPr>
      <w:r>
        <w:t xml:space="preserve">Active remote sensing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w:t>
      </w:r>
      <w:r>
        <w:t xml:space="preserve"> </w:t>
      </w:r>
      <w:hyperlink w:anchor="fig-LIDAR">
        <w:r>
          <w:rPr>
            <w:rStyle w:val="Hyperlink"/>
          </w:rPr>
          <w:t xml:space="preserve">Figure 1.5</w:t>
        </w:r>
      </w:hyperlink>
      <w:r>
        <w:t xml:space="preserve">. When ground height cannot be direclty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55" w:name="fig-LIDAR"/>
          <w:p>
            <w:pPr>
              <w:pStyle w:val="Compact"/>
              <w:jc w:val="center"/>
            </w:pPr>
            <w:r>
              <w:drawing>
                <wp:inline>
                  <wp:extent cx="4160520" cy="4147803"/>
                  <wp:effectExtent b="0" l="0" r="0" t="0"/>
                  <wp:docPr descr="" title="" id="53" name="Picture"/>
                  <a:graphic>
                    <a:graphicData uri="http://schemas.openxmlformats.org/drawingml/2006/picture">
                      <pic:pic>
                        <pic:nvPicPr>
                          <pic:cNvPr descr="Chapter1/Figs/LIDAR.png" id="54" name="Picture"/>
                          <pic:cNvPicPr>
                            <a:picLocks noChangeArrowheads="1" noChangeAspect="1"/>
                          </pic:cNvPicPr>
                        </pic:nvPicPr>
                        <pic:blipFill>
                          <a:blip r:embed="rId52"/>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Diagram showing several signal-return for a single emited beams of a LIDAR system. adapted from</w:t>
            </w:r>
          </w:p>
          <w:bookmarkEnd w:id="55"/>
        </w:tc>
      </w:tr>
    </w:tbl>
    <w:p>
      <w:pPr>
        <w:pStyle w:val="BodyText"/>
      </w:pPr>
      <w:r>
        <w:t xml:space="preserve">Achieving accurate 3D measurements of a target using LiDAR technology requires a high level of precision in assessing each parameter of the system. The quality of the final output depends on careful calibration and execution at every stage of the process. One of the critical steps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a high degree of precision. To achieve this, Real-Time Kinematic (RTK) positioning systems are commonly employed.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not only diminish the reliability of the data but also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is used to map terrestrial features, such as beach contours, vegetation density, rocky shore structures and man-made installations. Its ability to generate high-density point clouds stems from efficient operation at lower power. Unlike other types of LiDAR, NIR LiDAR require less power, making it generally more affordable and compact. These attributes allow topographic LiDAR systems to be easily mounted on drone platforms, offering greater flexibility and accessibility for coastal monitoring. In contrast, bathymetric LiDAR, utilizing green wavelengths (~532 nm),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2021)</w:t>
      </w:r>
      <w:r>
        <w:t xml:space="preserve"> </w:t>
      </w:r>
      <w:r>
        <w:t xml:space="preserve">provides a high-resolution bathymetric and topographic map in coastal areas, created using LiDAR technologies. During airborne missions, the system captures terrestrial and submerged terrain features with exceptional precision. The topographic LiDAR achieves spatial resolution of 1 meter, with vertical accuracy up to 20 centimeters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used along with a water height dataset to assess the emersion time of seagrass meadows in Quiberon, France, during low tide. Since this thesis is focuses on intertidal environement mapping, field campaigns are conducted during low tide to ensure optimal conditions for the effective use of NIR LiDAR providing unobstructed access to exposed intertidal zones.</w:t>
      </w:r>
    </w:p>
    <w:bookmarkEnd w:id="56"/>
    <w:bookmarkStart w:id="80" w:name="passive-remote-sensing"/>
    <w:p>
      <w:pPr>
        <w:pStyle w:val="Heading3"/>
      </w:pPr>
      <w:r>
        <w:t xml:space="preserve">1.2.2 Passive Remote Sensing</w:t>
      </w:r>
    </w:p>
    <w:p>
      <w:pPr>
        <w:pStyle w:val="FirstParagraph"/>
      </w:pPr>
      <w:r>
        <w:t xml:space="preserve">Passive remote sensing is a method of collecting data about the Earth’s surface or atmosphere by measuring naturally emitted or sunlight-reflected electromagnetic radiation without actively transmitting signals. This technique relies on energy sources external to the instrument, such as sunlight for optical and near-infrared sensors or Earth’s thermal emissions for thermal infrared sensors.</w:t>
      </w:r>
    </w:p>
    <w:p>
      <w:pPr>
        <w:pStyle w:val="BodyText"/>
      </w:pPr>
      <w:r>
        <w:t xml:space="preserve">Passive remote sensing is widely utilized in spaceborne satellite missions and has played a pivotal role in programs developed by major space agencies, including the European Space Agency (ESA) and the National Aeronautics and Space Administration (NASA). For instance, the Sentinel-2 which provides ESA’s highest spatial resolution imagery, employs passive sensors. Data measured by these sensors have been applied to monitor land cover, vegetation dynamics and coastal and in land water environments.</w:t>
      </w:r>
    </w:p>
    <w:p>
      <w:pPr>
        <w:pStyle w:val="BodyText"/>
      </w:pPr>
      <w:r>
        <w:t xml:space="preserve">As sunlight enters the Earth’s atmosphere, it interacts with various gases and particles altering its properties at specific wavelength. These interactions include scattering, absorption, and refraction. Scattering occurs when atmospheric molecules and aerosols disperse light in different directions, with shorter wavelengths like blue light being more strongly affected. Absorption result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w:t>
      </w:r>
    </w:p>
    <w:p>
      <w:pPr>
        <w:pStyle w:val="BodyText"/>
      </w:pPr>
      <w:r>
        <w:t xml:space="preserve">When sunlight reaches Earth’s surface, it exhibits several behaviors, depending on the surface properties and the angle of incidence. These behaviors include:</w:t>
      </w:r>
    </w:p>
    <w:p>
      <w:pPr>
        <w:numPr>
          <w:ilvl w:val="0"/>
          <w:numId w:val="1003"/>
        </w:numPr>
      </w:pPr>
      <w:r>
        <w:t xml:space="preserve">Absorption: The light is absorbed by the surface,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The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remote sensing, to quantify electromagnetic radiation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definied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w:t>
      </w:r>
      <w:r>
        <w:t xml:space="preserve">however is dimensionless.</w:t>
      </w:r>
    </w:p>
    <w:p>
      <w:pPr>
        <w:pStyle w:val="BodyText"/>
      </w:pPr>
      <w:bookmarkStart w:id="57"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57"/>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w:t>
      </w:r>
    </w:p>
    <w:tbl>
      <w:tblPr>
        <w:tblStyle w:val="Table"/>
        <w:tblW w:type="pct" w:w="5000"/>
        <w:tblLayout w:type="fixed"/>
        <w:tblLook w:firstRow="0" w:lastRow="0" w:firstColumn="0" w:lastColumn="0" w:noHBand="0" w:noVBand="0" w:val="0000"/>
      </w:tblPr>
      <w:tblGrid>
        <w:gridCol w:w="7920"/>
      </w:tblGrid>
      <w:tr>
        <w:tc>
          <w:tcPr/>
          <w:bookmarkStart w:id="61" w:name="fig-FigLightPath"/>
          <w:p>
            <w:pPr>
              <w:pStyle w:val="Compact"/>
              <w:jc w:val="center"/>
            </w:pPr>
            <w:r>
              <w:drawing>
                <wp:inline>
                  <wp:extent cx="5349240" cy="4260589"/>
                  <wp:effectExtent b="0" l="0" r="0" t="0"/>
                  <wp:docPr descr="" title="" id="59" name="Picture"/>
                  <a:graphic>
                    <a:graphicData uri="http://schemas.openxmlformats.org/drawingml/2006/picture">
                      <pic:pic>
                        <pic:nvPicPr>
                          <pic:cNvPr descr="Chapter1/Figs/FigLightPath.png" id="60" name="Picture"/>
                          <pic:cNvPicPr>
                            <a:picLocks noChangeArrowheads="1" noChangeAspect="1"/>
                          </pic:cNvPicPr>
                        </pic:nvPicPr>
                        <pic:blipFill>
                          <a:blip r:embed="rId58"/>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61"/>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tragets within the scene and assumes uniform aerosol concentrations across the scene. Such assumption may be inaccurate, particularly for satellites with a wide field of view, such as MODIS, where a single image can cover a swath of 2,330 km. Limitations to this technique arise also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of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remote sensing applications. By analyzing spectral signatures, its possible to identify and classify surface types, as well as derive insights into environmental changes and land-use dynamics. For example, Chlorophyll-a (Chla), a pigment found in all vegetation, plays a key role in defining the spectral signature of plant life. Chla absorbs light in specific regions of the electromagnetic spectrum, particularly in the blue region around 440 nm and the red region near 675 nm. Consequently, healty vegetation exhibits a spectral signature with low</w:t>
      </w:r>
      <w:r>
        <w:t xml:space="preserve"> </w:t>
      </w:r>
      <m:oMath>
        <m:r>
          <m:t>R</m:t>
        </m:r>
      </m:oMath>
      <w:r>
        <w:t xml:space="preserve"> </w:t>
      </w:r>
      <w:r>
        <w:t xml:space="preserve">at 440 and 675 nm. Variations in physiological states and vegetations types result in different spectral patterns, enabling their differentiation and monitoring of ecological conditions over time (</w:t>
      </w:r>
      <w:hyperlink w:anchor="fig-Spectral_signature">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5" w:name="fig-Spectral_signature"/>
          <w:p>
            <w:pPr>
              <w:pStyle w:val="Compact"/>
              <w:jc w:val="center"/>
            </w:pPr>
            <w:r>
              <w:drawing>
                <wp:inline>
                  <wp:extent cx="4754880" cy="3987354"/>
                  <wp:effectExtent b="0" l="0" r="0" t="0"/>
                  <wp:docPr descr="" title="" id="63" name="Picture"/>
                  <a:graphic>
                    <a:graphicData uri="http://schemas.openxmlformats.org/drawingml/2006/picture">
                      <pic:pic>
                        <pic:nvPicPr>
                          <pic:cNvPr descr="Chapter1/Figs/spectral_signatures.png" id="64" name="Picture"/>
                          <pic:cNvPicPr>
                            <a:picLocks noChangeArrowheads="1" noChangeAspect="1"/>
                          </pic:cNvPicPr>
                        </pic:nvPicPr>
                        <pic:blipFill>
                          <a:blip r:embed="rId62"/>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spectral signature of vegetation (green), Water (blue) and bare soil (red). Absorption features of Chlorophyll-a are indicated for the spectra of vegetation.</w:t>
            </w:r>
          </w:p>
          <w:bookmarkEnd w:id="65"/>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normalised difference between</w:t>
      </w:r>
      <w:r>
        <w:t xml:space="preserve"> </w:t>
      </w:r>
      <m:oMath>
        <m:r>
          <m:t>R</m:t>
        </m:r>
      </m:oMath>
      <w:r>
        <w:t xml:space="preserve"> </w:t>
      </w:r>
      <w:r>
        <w:t xml:space="preserve">in the NIR and red. It is calculated as:</w:t>
      </w:r>
    </w:p>
    <w:p>
      <w:pPr>
        <w:pStyle w:val="BodyText"/>
      </w:pPr>
      <w:bookmarkStart w:id="66"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66"/>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infrared region arround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serves as a proxy for vegetation biomass and photosynthetic activity, its interpretation can be complex in heterogeneous environments, such as areas with overlapping vegetation types or substrates.</w:t>
      </w:r>
      <w:r>
        <w:t xml:space="preserve"> </w:t>
      </w:r>
      <w:r>
        <w:t xml:space="preserve">Some studies propose a simple classification of NDVI based on thresholds to differentiate between different types of habitats or vegetations</w:t>
      </w:r>
      <w:r>
        <w:t xml:space="preserve"> </w:t>
      </w:r>
      <w:r>
        <w:t xml:space="preserve">(Vona Méléder et al., 2003)</w:t>
      </w:r>
      <w:r>
        <w:t xml:space="preserve">. While this simple first approximation can be useful for delimitating contrasting types of targets, establishing thresholds depends on specific sensor characteristics and this technique often fails in mapping vegetation types with similar pigment content or highly heterogeneous targets. More sophisticated techniques that utilize a greater amount of spectral information are required in such situation</w:t>
      </w:r>
      <w:r>
        <w:t xml:space="preserve"> </w:t>
      </w:r>
      <w:r>
        <w:t xml:space="preserve">(Oiry and Barillé, 2021a)</w:t>
      </w:r>
    </w:p>
    <w:p>
      <w:pPr>
        <w:pStyle w:val="BodyText"/>
      </w:pPr>
      <m:oMath>
        <m:sSub>
          <m:e>
            <m:r>
              <m:t>R</m:t>
            </m:r>
          </m:e>
          <m:sub>
            <m:r>
              <m:t>B</m:t>
            </m:r>
            <m:r>
              <m:t>O</m:t>
            </m:r>
            <m:r>
              <m:t>A</m:t>
            </m:r>
          </m:sub>
        </m:sSub>
      </m:oMath>
      <w:r>
        <w:t xml:space="preserve"> </w:t>
      </w:r>
      <w:r>
        <w:t xml:space="preserve">can be used to identify key absorption features of chemical compounds of the traget,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that have weaker absorption features compared to chlorophyll-a.</w:t>
      </w:r>
    </w:p>
    <w:bookmarkStart w:id="74" w:name="remote-sensing-resolutions"/>
    <w:p>
      <w:pPr>
        <w:pStyle w:val="Heading4"/>
      </w:pPr>
      <w:r>
        <w:t xml:space="preserve">1.2.2.1 Remote Sensing resolutions</w:t>
      </w:r>
    </w:p>
    <w:bookmarkStart w:id="71" w:name="spectral-and-radiometric-resolution"/>
    <w:p>
      <w:pPr>
        <w:pStyle w:val="Heading5"/>
      </w:pPr>
      <w:r>
        <w:t xml:space="preserve">1.2.2.1.1 Spectral and Radiometric resolution</w:t>
      </w:r>
    </w:p>
    <w:p>
      <w:pPr>
        <w:pStyle w:val="FirstParagraph"/>
      </w:pPr>
      <w:r>
        <w:t xml:space="preserve">The detection of pigments absorption feature necessitate to measure light reflectance at almost each wavelength. However this capacity measure the spectral signature in details depends on the spectra resolution of the sensor used to make the measure.</w:t>
      </w:r>
    </w:p>
    <w:p>
      <w:pPr>
        <w:pStyle w:val="BodyText"/>
      </w:pPr>
      <w:r>
        <w:t xml:space="preserve">Spectral resolution is a critical parameter of remote sensing sensors, defined by three main components: the number of spectral bands, the bandwidth (Full Width at Half Maximum, FWHM), and the spectral sampling interval. A sensor with higher spectral resolution can differentiate between closely spaced wavelengths within the electromagnetic spectrum, enabling precise characterization of spectral features (</w:t>
      </w:r>
      <w:hyperlink w:anchor="fig-Spectral_resolutions">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0" w:name="fig-Spectral_resolutions"/>
          <w:p>
            <w:pPr>
              <w:pStyle w:val="Compact"/>
              <w:jc w:val="center"/>
            </w:pPr>
            <w:r>
              <w:drawing>
                <wp:inline>
                  <wp:extent cx="5943600" cy="3130355"/>
                  <wp:effectExtent b="0" l="0" r="0" t="0"/>
                  <wp:docPr descr="" title="" id="68" name="Picture"/>
                  <a:graphic>
                    <a:graphicData uri="http://schemas.openxmlformats.org/drawingml/2006/picture">
                      <pic:pic>
                        <pic:nvPicPr>
                          <pic:cNvPr descr="Chapter1/Figs/Spectra_resolutions/Fig_SpectralResolution_chouchou.png" id="69" name="Picture"/>
                          <pic:cNvPicPr>
                            <a:picLocks noChangeArrowheads="1" noChangeAspect="1"/>
                          </pic:cNvPicPr>
                        </pic:nvPicPr>
                        <pic:blipFill>
                          <a:blip r:embed="rId67"/>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Comparison of spectral resolution between multispectral (A) and hyperspectral (B) sensors in the solar radiance spectrum. Panel C illustrates the impact of spectral resolution on the same spectral signature of Gracilaria vermiculophylla. With hyperspectral resolution (red), absorption features of pigments such as phycocyanin and phycoerythrin are distinguishable, whereas these features are absent in the multispectral resolution provided by Sentinel-2 (green). D is showing exemple of different radiometric resolutions for the same band of a Sentinel-2 tile. One is coded in 12 bits (left) and the other is coded in 6 bits (right).</w:t>
            </w:r>
          </w:p>
          <w:bookmarkEnd w:id="70"/>
        </w:tc>
      </w:tr>
    </w:tbl>
    <w:p>
      <w:pPr>
        <w:pStyle w:val="BodyText"/>
      </w:pPr>
      <w:r>
        <w:t xml:space="preserve">Remote sensing sensors are generally classified into two categories based on their spectral resolution: multispectral sensors and hyperspectral sensors.</w:t>
      </w:r>
      <w:r>
        <w:t xml:space="preserve"> </w:t>
      </w:r>
      <w:r>
        <w:t xml:space="preserve">Multispectral sensors are characterized by a limited number of broad spectral bands. These bands cover wide portions of the spectrum,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These bands are separated by small spectral sampling intervals, often just a few nanometers, which results in a much finer spectral resolution. This fine resolution allows for the detailed measurement of spectral signatures, capturing subtle variations in absorption features and spectral shapes. The difference in spectral resolution between these two categories significantly impacts the ability of the sensor to analyze complex spectral data. Hyperspectral sensors, with their narrow bands and fine sampling intervals, provide a continuous spectral profile that enables precise discrimination of unique spectral properties, such as pigment absorption. Multispectral sensors, while less detailed, are efficient for general spectral analyses where fine discrimination is not required.</w:t>
      </w:r>
      <w:r>
        <w:t xml:space="preserve"> </w:t>
      </w:r>
      <w:r>
        <w:t xml:space="preserve">Another specification of sensor regarding their ability to measure spectral signature is the radiometric resolution. It refers to the sensor’s ability to measure and differentiate variations in the intensity of electromagnetic radiation.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1.8</w:t>
        </w:r>
      </w:hyperlink>
      <w:r>
        <w:t xml:space="preserve"> </w:t>
      </w:r>
      <w:r>
        <w:t xml:space="preserve">D).</w:t>
      </w:r>
    </w:p>
    <w:bookmarkEnd w:id="71"/>
    <w:bookmarkStart w:id="72" w:name="spatial-resolution"/>
    <w:p>
      <w:pPr>
        <w:pStyle w:val="Heading5"/>
      </w:pPr>
      <w:r>
        <w:t xml:space="preserve">1.2.2.1.2 Spatial resolution</w:t>
      </w:r>
    </w:p>
    <w:p>
      <w:pPr>
        <w:pStyle w:val="FirstParagraph"/>
      </w:pPr>
      <w:r>
        <w:t xml:space="preserve">Spatial resolution, defined as the smallest discernible detail a sensor can detect on Earth’s surface, is another fundamental characteristic of remote sensing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meters, 500 meters, and 1 kilometer, making them suitable for large-scale environmental monitoring. In contrast, Sentinel-2 provides higher spatial resolutions—10 meters for visible and near-infrared bands, 20 meters for red-edge and shortwave infrared bands, and 60 meters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centimeters, even millimeters, depending on flight altitude and sensor specifications. This ultra-high resolution is particularly advantageous for heterogeneous site mapping. Chapter 3 will shows that an ultra-high spatial resolution can be valuable for marchine learning model training. However, such high resolution requires increased data storage and processing capacity, illustrating the trade-off between detail and operational feasibility.</w:t>
      </w:r>
    </w:p>
    <w:p>
      <w:pPr>
        <w:pStyle w:val="BodyText"/>
      </w:pPr>
      <w:r>
        <w:t xml:space="preserve">In scenarios involving mixed vegetation types or intricate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72"/>
    <w:bookmarkStart w:id="73" w:name="temporal-resolutions"/>
    <w:p>
      <w:pPr>
        <w:pStyle w:val="Heading5"/>
      </w:pPr>
      <w:r>
        <w:t xml:space="preserve">1.2.2.1.3 Temporal Resolutions</w:t>
      </w:r>
    </w:p>
    <w:p>
      <w:pPr>
        <w:pStyle w:val="FirstParagraph"/>
      </w:pPr>
      <w:r>
        <w:t xml:space="preserve">Another key characteristic of remote sensing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Temporal resolution varies significantly depending on the sensor’s design and mission. 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w:t>
      </w:r>
      <w:r>
        <w:t xml:space="preserve"> </w:t>
      </w:r>
      <w:r>
        <w:t xml:space="preserve">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1.9</w:t>
        </w:r>
      </w:hyperlink>
      <w:r>
        <w:t xml:space="preserve">).</w:t>
      </w:r>
    </w:p>
    <w:p>
      <w:pPr>
        <w:pStyle w:val="BodyText"/>
      </w:pPr>
      <w:r>
        <w:t xml:space="preserve">In contrast, some sensors are operated on-demand, with data acquisition triggered directly by the user. This is particularly characteristic of drones and specialized satellite missions like Pleiades or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73"/>
    <w:bookmarkEnd w:id="74"/>
    <w:bookmarkStart w:id="79" w:name="a-story-of-trade-off"/>
    <w:p>
      <w:pPr>
        <w:pStyle w:val="Heading4"/>
      </w:pPr>
      <w:r>
        <w:t xml:space="preserve">1.2.2.2 A story of trade off</w:t>
      </w:r>
    </w:p>
    <w:p>
      <w:pPr>
        <w:pStyle w:val="FirstParagraph"/>
      </w:pPr>
      <w:r>
        <w:t xml:space="preserve">Remote sensing involves inherent trade-offs between spatial resolution, temporal resolution, and coverage area, which influence the suitability of sensors for different applications (</w:t>
      </w:r>
      <w:hyperlink w:anchor="fig-ResolutionSatellite">
        <w:r>
          <w:rPr>
            <w:rStyle w:val="Hyperlink"/>
          </w:rPr>
          <w:t xml:space="preserve">Figure 1.9</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or the mapping of coral reef health.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78" w:name="fig-ResolutionSatellite"/>
          <w:p>
            <w:pPr>
              <w:pStyle w:val="Compact"/>
              <w:jc w:val="center"/>
            </w:pPr>
            <w:r>
              <w:drawing>
                <wp:inline>
                  <wp:extent cx="5943600" cy="3500222"/>
                  <wp:effectExtent b="0" l="0" r="0" t="0"/>
                  <wp:docPr descr="" title="" id="76" name="Picture"/>
                  <a:graphic>
                    <a:graphicData uri="http://schemas.openxmlformats.org/drawingml/2006/picture">
                      <pic:pic>
                        <pic:nvPicPr>
                          <pic:cNvPr descr="Chapter1/Figs/Satellite_resolution.png" id="77" name="Picture"/>
                          <pic:cNvPicPr>
                            <a:picLocks noChangeArrowheads="1" noChangeAspect="1"/>
                          </pic:cNvPicPr>
                        </pic:nvPicPr>
                        <pic:blipFill>
                          <a:blip r:embed="rId75"/>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Intersection of spectral resolutions (x-axis), temporal resolutions (y-axis), and spatial resolutions (circle size) of the main satellite sensors used to observe coastal areas.</w:t>
            </w:r>
          </w:p>
          <w:bookmarkEnd w:id="78"/>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variability, coastal erosion trends, and seasonal changes in primary productivity over larger geographic extents. For example, instruments like MODIS or VIIRS are well-suited for observing ocean color and chlorophyll concentrations, which are critical for understanding broader ecosystem health in coastal zones.</w:t>
      </w:r>
    </w:p>
    <w:p>
      <w:pPr>
        <w:pStyle w:val="BodyText"/>
      </w:pPr>
      <w:r>
        <w:t xml:space="preserve">Intermediate-resolution sensors provide a compromise, offering sufficient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bookmarkEnd w:id="79"/>
    <w:bookmarkEnd w:id="80"/>
    <w:bookmarkStart w:id="81" w:name="X6e0637a84264a80c0e5f6545e17679d348073aa"/>
    <w:p>
      <w:pPr>
        <w:pStyle w:val="Heading3"/>
      </w:pPr>
      <w:r>
        <w:t xml:space="preserve">1.2.3 Remote Sensing applied to Coastal monitoring</w:t>
      </w:r>
    </w:p>
    <w:p>
      <w:pPr>
        <w:pStyle w:val="FirstParagraph"/>
      </w:pPr>
      <w:r>
        <w:t xml:space="preserve">Coastal environments represent highly dynamic and sensitive ecosystems shaped by complex interactions between natural processes and human activities. Remote sensing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the quantification of spatial and temporal variations, informing evidence-based strategies for conservation and sustainable management.</w:t>
      </w:r>
    </w:p>
    <w:p>
      <w:pPr>
        <w:pStyle w:val="BodyText"/>
      </w:pPr>
      <w:r>
        <w:t xml:space="preserve">Regulatory frameworks, such as the Water Framework Directive (WFD) and the Marine Strategy Framework Directive (MSFD), emphasize the need for regular mapping of marine habitats to monitor ecological health. These directives utilize habitat diversity as a bioindicator of coastal and estuarine water quality</w:t>
      </w:r>
      <w:r>
        <w:t xml:space="preserve"> </w:t>
      </w:r>
      <w:r>
        <w:t xml:space="preserve">(Borja et al., 2013; Zoffoli et al., 2021a)</w:t>
      </w:r>
      <w:r>
        <w:t xml:space="preserve">.</w:t>
      </w:r>
    </w:p>
    <w:p>
      <w:pPr>
        <w:pStyle w:val="BodyText"/>
      </w:pPr>
      <w:r>
        <w:t xml:space="preserve">Satellite remote sensing has emerged as a promising tool for studying essential biodiversity variables in these habitats</w:t>
      </w:r>
      <w:r>
        <w:t xml:space="preserve"> </w:t>
      </w:r>
      <w:r>
        <w:t xml:space="preserve">(Pereira et al., 2013a; Skidmore et al., 2015)</w:t>
      </w:r>
      <w:r>
        <w:t xml:space="preserve">. Remote sensing offers several advantages over in situ sampling: repeated monitoring over large-scale coverage, high-frequency data acquisition, enabling seasonal and phenological studies, reduced costs and logistical challenges compared to field surveys, reconstruction of past conditions when used long time-series.</w:t>
      </w:r>
    </w:p>
    <w:p>
      <w:pPr>
        <w:pStyle w:val="BodyText"/>
      </w:pPr>
      <w:r>
        <w:t xml:space="preserve">However, past and current satellite missions lack optimal technical specifications (spatial, spectral, and temporal resolution) for full operational capability</w:t>
      </w:r>
      <w:r>
        <w:t xml:space="preserve"> </w:t>
      </w:r>
      <w:r>
        <w:t xml:space="preserve">(F. E. Muller-Karger et al., 2018)</w:t>
      </w:r>
      <w:r>
        <w:t xml:space="preserve">. For some habitats, multispectral resolution may be adequate under certain conditions</w:t>
      </w:r>
      <w:r>
        <w:t xml:space="preserve"> </w:t>
      </w:r>
      <w:r>
        <w:t xml:space="preserve">(Zoffoli et al., 2020a)</w:t>
      </w:r>
      <w:r>
        <w:t xml:space="preserve">, although risks of classification errors remain. For others, higher spectral resolution is necessary to distinguish taxonomically distinct groups of organisms</w:t>
      </w:r>
      <w:r>
        <w:t xml:space="preserve"> </w:t>
      </w:r>
      <w:r>
        <w:t xml:space="preserve">(S. 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(A. Bargain et al., 2013a; Jesus et al., 2014; Méléder et al., 2005; V. Méléder et al., 2003)</w:t>
      </w:r>
      <w:r>
        <w:t xml:space="preserve">.</w:t>
      </w:r>
    </w:p>
    <w:p>
      <w:pPr>
        <w:pStyle w:val="Compact"/>
        <w:numPr>
          <w:ilvl w:val="0"/>
          <w:numId w:val="1004"/>
        </w:numPr>
      </w:pPr>
      <w:r>
        <w:t xml:space="preserve">EOV EBV</w:t>
      </w:r>
    </w:p>
    <w:p>
      <w:pPr>
        <w:pStyle w:val="Compact"/>
        <w:numPr>
          <w:ilvl w:val="0"/>
          <w:numId w:val="1004"/>
        </w:numPr>
      </w:pPr>
      <w:r>
        <w:t xml:space="preserve">Muller-Karger</w:t>
      </w:r>
    </w:p>
    <w:bookmarkEnd w:id="81"/>
    <w:bookmarkEnd w:id="82"/>
    <w:bookmarkStart w:id="83" w:name="objectifs-and-overview"/>
    <w:p>
      <w:pPr>
        <w:pStyle w:val="Heading2"/>
      </w:pPr>
      <w:r>
        <w:t xml:space="preserve">1.3 Objectifs and Overview</w:t>
      </w:r>
    </w:p>
    <w:p>
      <w:pPr>
        <w:pStyle w:val="FirstParagraph"/>
      </w:pPr>
      <w:r>
        <w:t xml:space="preserve">Discriminating between different types of intertidal vegetation using remote sensing poses significant challenges due to overlapping spectral signature in the visible and near-infrared spectral regions caused by similar pigment compositions. This issue is particularly pronounced when comparing green macroalgae and seagrass. In addition to chlorophyll-a, a pigment found in all vegetal cells, both green macroalgae and seagrass share the same accessory pigments such as chlorophyll-b and carotenoids. These shared pigments pronounce analogous reflectance patterns, making it difficult to differentiate between these vegetation types using conventional remote sensing techniques, especially in heterogenous habitats where these species often co exist. Despite these challenges, advances in spectral resolution and machine learning provide avenues for improved classification.</w:t>
      </w:r>
    </w:p>
    <w:p>
      <w:pPr>
        <w:pStyle w:val="BodyText"/>
      </w:pPr>
      <w:r>
        <w:rPr>
          <w:b/>
          <w:bCs/>
        </w:rPr>
        <w:t xml:space="preserve">Chapter 2</w:t>
      </w:r>
      <w:r>
        <w:t xml:space="preserve"> </w:t>
      </w:r>
      <w:r>
        <w:t xml:space="preserve">establishes the foundation by presenting a proof-of-concept study that demonstrates the feasibility of distinguising different types of vegetation using remote sensing. It demonstrates that this technique can effectively separate green macroalgae from seagrasses. By employing both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the proof of concept,</w:t>
      </w:r>
      <w:r>
        <w:t xml:space="preserve"> </w:t>
      </w:r>
      <w:r>
        <w:rPr>
          <w:b/>
          <w:bCs/>
        </w:rPr>
        <w:t xml:space="preserve">Chapter 3</w:t>
      </w:r>
      <w:r>
        <w:t xml:space="preserve"> </w:t>
      </w:r>
      <w:r>
        <w:t xml:space="preserve">focuses on the development of a robust algorithm called DISCOV v1.0,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t xml:space="preserve">Finally,</w:t>
      </w:r>
      <w:r>
        <w:t xml:space="preserve"> </w:t>
      </w: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bookmarkEnd w:id="83"/>
    <w:bookmarkEnd w:id="84"/>
    <w:bookmarkStart w:id="151" w:name="X5946039c2941aedea9148f0862d7b582029c549"/>
    <w:p>
      <w:pPr>
        <w:pStyle w:val="Heading1"/>
      </w:pPr>
      <w:r>
        <w:t xml:space="preserve">2. Hyperspectral classification of intertidal vegetation for coastal biodiversity</w:t>
      </w:r>
    </w:p>
    <w:bookmarkStart w:id="85"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Nicholas J. Murray et al., 2019b;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2018a)</w:t>
      </w:r>
      <w:r>
        <w:t xml:space="preserve">. However, the significant roles of intertidal areas for biodiversity and the ecosystem services they provide are not universally known</w:t>
      </w:r>
      <w:r>
        <w:t xml:space="preserve"> </w:t>
      </w:r>
      <w:r>
        <w:t xml:space="preserve">(Reddin et al., 2022; Unsworth et al., 2022a; R. K. F. Unsworth et al., 2019a, 2019b)</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Nicholas J. Murray et al., 2019b)</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2018a)</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(R. K. F. Unsworth et al., 2019a)</w:t>
      </w:r>
      <w:r>
        <w:t xml:space="preserve">. Providing updated and accurate maps of intertidal areas is a prerequisite to addressing such challenges</w:t>
      </w:r>
      <w:r>
        <w:t xml:space="preserve"> </w:t>
      </w:r>
      <w:r>
        <w:t xml:space="preserve">(Len J. McKenzie et al., 2020b)</w:t>
      </w:r>
      <w:r>
        <w:t xml:space="preserve">. However, the traditional methods for mapping rely on field surveys to estimate species abundance, biomass and habitat surface, which are time-consuming and labor-intensive</w:t>
      </w:r>
      <w:r>
        <w:t xml:space="preserve"> </w:t>
      </w:r>
      <w:r>
        <w:t xml:space="preserve">(Nijland et al., 2019a;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2020a)</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(Frank E. Muller-Karger et al., 2018a; Pereira et al., 2013b)</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2021b)</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2020a)</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2022, 2020c)</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2020a)</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2021b)</w:t>
      </w:r>
      <w:r>
        <w:t xml:space="preserve">. Other taxonomic classes common in intertidal soft-bottom environments such as Xanthophyceae and Bacillariophyceae could also be confused with seagrass when present at low cover</w:t>
      </w:r>
      <w:r>
        <w:t xml:space="preserve"> </w:t>
      </w:r>
      <w:r>
        <w:t xml:space="preserve">(Zoffoli et al., 2020c)</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(S. K. Fyfe, 2003)</w:t>
      </w:r>
      <w:r>
        <w:t xml:space="preserve"> </w:t>
      </w:r>
      <w:r>
        <w:t xml:space="preserve">or to differentiate seagrass from other nearshore vegetation types</w:t>
      </w:r>
      <w:r>
        <w:t xml:space="preserve"> </w:t>
      </w:r>
      <w:r>
        <w:t xml:space="preserve">(Légaré et al., 2022a)</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85"/>
    <w:bookmarkStart w:id="107" w:name="materials-and-methods"/>
    <w:p>
      <w:pPr>
        <w:pStyle w:val="Heading2"/>
      </w:pPr>
      <w:r>
        <w:t xml:space="preserve">2.2 Materials and Methods</w:t>
      </w:r>
    </w:p>
    <w:bookmarkStart w:id="98"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89"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87" name="Picture"/>
                  <a:graphic>
                    <a:graphicData uri="http://schemas.openxmlformats.org/drawingml/2006/picture">
                      <pic:pic>
                        <pic:nvPicPr>
                          <pic:cNvPr descr="Chapter2/Figs/SPECIESTABLE.png" id="88" name="Picture"/>
                          <pic:cNvPicPr>
                            <a:picLocks noChangeArrowheads="1" noChangeAspect="1"/>
                          </pic:cNvPicPr>
                        </pic:nvPicPr>
                        <pic:blipFill>
                          <a:blip r:embed="rId86"/>
                          <a:stretch>
                            <a:fillRect/>
                          </a:stretch>
                        </pic:blipFill>
                        <pic:spPr bwMode="auto">
                          <a:xfrm>
                            <a:off x="0" y="0"/>
                            <a:ext cx="5646420" cy="3556919"/>
                          </a:xfrm>
                          <a:prstGeom prst="rect">
                            <a:avLst/>
                          </a:prstGeom>
                          <a:noFill/>
                          <a:ln w="9525">
                            <a:noFill/>
                            <a:headEnd/>
                            <a:tailEnd/>
                          </a:ln>
                        </pic:spPr>
                      </pic:pic>
                    </a:graphicData>
                  </a:graphic>
                </wp:inline>
              </w:drawing>
            </w:r>
          </w:p>
          <w:bookmarkEnd w:id="89"/>
        </w:tc>
      </w:tr>
    </w:tbl>
    <w:tbl>
      <w:tblPr>
        <w:tblStyle w:val="Table"/>
        <w:tblW w:type="pct" w:w="5000"/>
        <w:tblLayout w:type="fixed"/>
        <w:tblLook w:firstRow="0" w:lastRow="0" w:firstColumn="0" w:lastColumn="0" w:noHBand="0" w:noVBand="0" w:val="0000"/>
      </w:tblPr>
      <w:tblGrid>
        <w:gridCol w:w="7920"/>
      </w:tblGrid>
      <w:tr>
        <w:tc>
          <w:tcPr/>
          <w:bookmarkStart w:id="93" w:name="fig-Images"/>
          <w:p>
            <w:pPr>
              <w:pStyle w:val="Compact"/>
              <w:jc w:val="center"/>
            </w:pPr>
            <w:r>
              <w:drawing>
                <wp:inline>
                  <wp:extent cx="5401056" cy="3444240"/>
                  <wp:effectExtent b="0" l="0" r="0" t="0"/>
                  <wp:docPr descr="" title="" id="91" name="Picture"/>
                  <a:graphic>
                    <a:graphicData uri="http://schemas.openxmlformats.org/drawingml/2006/picture">
                      <pic:pic>
                        <pic:nvPicPr>
                          <pic:cNvPr descr="Chapter2/Figs/Figure1.jpg" id="92" name="Picture"/>
                          <pic:cNvPicPr>
                            <a:picLocks noChangeArrowheads="1" noChangeAspect="1"/>
                          </pic:cNvPicPr>
                        </pic:nvPicPr>
                        <pic:blipFill>
                          <a:blip r:embed="rId90"/>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93"/>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2020c)</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2020c)</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97" w:name="fig-FIGMAP"/>
          <w:p>
            <w:pPr>
              <w:pStyle w:val="Compact"/>
              <w:jc w:val="center"/>
            </w:pPr>
            <w:r>
              <w:drawing>
                <wp:inline>
                  <wp:extent cx="5466283" cy="5027371"/>
                  <wp:effectExtent b="0" l="0" r="0" t="0"/>
                  <wp:docPr descr="" title="" id="95" name="Picture"/>
                  <a:graphic>
                    <a:graphicData uri="http://schemas.openxmlformats.org/drawingml/2006/picture">
                      <pic:pic>
                        <pic:nvPicPr>
                          <pic:cNvPr descr="Chapter2/Figs/Figure2.jpg" id="96" name="Picture"/>
                          <pic:cNvPicPr>
                            <a:picLocks noChangeArrowheads="1" noChangeAspect="1"/>
                          </pic:cNvPicPr>
                        </pic:nvPicPr>
                        <pic:blipFill>
                          <a:blip r:embed="rId94"/>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97"/>
        </w:tc>
      </w:tr>
    </w:tbl>
    <w:bookmarkEnd w:id="98"/>
    <w:bookmarkStart w:id="106" w:name="data-analysis"/>
    <w:p>
      <w:pPr>
        <w:pStyle w:val="Heading3"/>
      </w:pPr>
      <w:r>
        <w:t xml:space="preserve">2.2.2 Data Analysis</w:t>
      </w:r>
    </w:p>
    <w:bookmarkStart w:id="103"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2020c)</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02" w:name="fig-SpectraDegFIG"/>
          <w:p>
            <w:pPr>
              <w:pStyle w:val="Compact"/>
              <w:jc w:val="center"/>
            </w:pPr>
            <w:r>
              <w:drawing>
                <wp:inline>
                  <wp:extent cx="5646420" cy="5741879"/>
                  <wp:effectExtent b="0" l="0" r="0" t="0"/>
                  <wp:docPr descr="" title="" id="100" name="Picture"/>
                  <a:graphic>
                    <a:graphicData uri="http://schemas.openxmlformats.org/drawingml/2006/picture">
                      <pic:pic>
                        <pic:nvPicPr>
                          <pic:cNvPr descr="Chapter2/Figs/Figure3.jpg" id="101" name="Picture"/>
                          <pic:cNvPicPr>
                            <a:picLocks noChangeArrowheads="1" noChangeAspect="1"/>
                          </pic:cNvPicPr>
                        </pic:nvPicPr>
                        <pic:blipFill>
                          <a:blip r:embed="rId99"/>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02"/>
        </w:tc>
      </w:tr>
    </w:tbl>
    <w:bookmarkEnd w:id="103"/>
    <w:bookmarkStart w:id="104"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04"/>
    <w:bookmarkStart w:id="105"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2023;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05"/>
    <w:bookmarkEnd w:id="106"/>
    <w:bookmarkEnd w:id="107"/>
    <w:bookmarkStart w:id="140" w:name="results"/>
    <w:p>
      <w:pPr>
        <w:pStyle w:val="Heading2"/>
      </w:pPr>
      <w:r>
        <w:t xml:space="preserve">2.3 Results</w:t>
      </w:r>
    </w:p>
    <w:bookmarkStart w:id="112"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11" w:name="fig-SpectraFIG"/>
          <w:p>
            <w:pPr>
              <w:pStyle w:val="Compact"/>
              <w:jc w:val="center"/>
            </w:pPr>
            <w:r>
              <w:drawing>
                <wp:inline>
                  <wp:extent cx="4572000" cy="4511649"/>
                  <wp:effectExtent b="0" l="0" r="0" t="0"/>
                  <wp:docPr descr="" title="" id="109" name="Picture"/>
                  <a:graphic>
                    <a:graphicData uri="http://schemas.openxmlformats.org/drawingml/2006/picture">
                      <pic:pic>
                        <pic:nvPicPr>
                          <pic:cNvPr descr="Chapter2/Figs/Figure4.jpg" id="110" name="Picture"/>
                          <pic:cNvPicPr>
                            <a:picLocks noChangeArrowheads="1" noChangeAspect="1"/>
                          </pic:cNvPicPr>
                        </pic:nvPicPr>
                        <pic:blipFill>
                          <a:blip r:embed="rId108"/>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11"/>
        </w:tc>
      </w:tr>
    </w:tbl>
    <w:bookmarkEnd w:id="112"/>
    <w:bookmarkStart w:id="117"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16" w:name="fig-MDSFIG"/>
          <w:p>
            <w:pPr>
              <w:pStyle w:val="Compact"/>
              <w:jc w:val="center"/>
            </w:pPr>
            <w:r>
              <w:drawing>
                <wp:inline>
                  <wp:extent cx="5241340" cy="5186476"/>
                  <wp:effectExtent b="0" l="0" r="0" t="0"/>
                  <wp:docPr descr="" title="" id="114" name="Picture"/>
                  <a:graphic>
                    <a:graphicData uri="http://schemas.openxmlformats.org/drawingml/2006/picture">
                      <pic:pic>
                        <pic:nvPicPr>
                          <pic:cNvPr descr="Chapter2/Figs/Figure5.jpg" id="115" name="Picture"/>
                          <pic:cNvPicPr>
                            <a:picLocks noChangeArrowheads="1" noChangeAspect="1"/>
                          </pic:cNvPicPr>
                        </pic:nvPicPr>
                        <pic:blipFill>
                          <a:blip r:embed="rId113"/>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16"/>
        </w:tc>
      </w:tr>
    </w:tbl>
    <w:bookmarkEnd w:id="117"/>
    <w:bookmarkStart w:id="134"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21" w:name="fig-MetricsFIG"/>
          <w:p>
            <w:pPr>
              <w:pStyle w:val="Compact"/>
              <w:jc w:val="center"/>
            </w:pPr>
            <w:r>
              <w:drawing>
                <wp:inline>
                  <wp:extent cx="4998110" cy="5012740"/>
                  <wp:effectExtent b="0" l="0" r="0" t="0"/>
                  <wp:docPr descr="" title="" id="119" name="Picture"/>
                  <a:graphic>
                    <a:graphicData uri="http://schemas.openxmlformats.org/drawingml/2006/picture">
                      <pic:pic>
                        <pic:nvPicPr>
                          <pic:cNvPr descr="Chapter2/Figs/Figure6.jpg" id="120" name="Picture"/>
                          <pic:cNvPicPr>
                            <a:picLocks noChangeArrowheads="1" noChangeAspect="1"/>
                          </pic:cNvPicPr>
                        </pic:nvPicPr>
                        <pic:blipFill>
                          <a:blip r:embed="rId118"/>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21"/>
        </w:tc>
      </w:tr>
    </w:tbl>
    <w:tbl>
      <w:tblPr>
        <w:tblStyle w:val="Table"/>
        <w:tblW w:type="pct" w:w="5000"/>
        <w:tblLayout w:type="fixed"/>
        <w:tblLook w:firstRow="0" w:lastRow="0" w:firstColumn="0" w:lastColumn="0" w:noHBand="0" w:noVBand="0" w:val="0000"/>
      </w:tblPr>
      <w:tblGrid>
        <w:gridCol w:w="7920"/>
      </w:tblGrid>
      <w:tr>
        <w:tc>
          <w:tcPr/>
          <w:bookmarkStart w:id="125"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23" name="Picture"/>
                  <a:graphic>
                    <a:graphicData uri="http://schemas.openxmlformats.org/drawingml/2006/picture">
                      <pic:pic>
                        <pic:nvPicPr>
                          <pic:cNvPr descr="Chapter2/Figs/metricsTable.png" id="124" name="Picture"/>
                          <pic:cNvPicPr>
                            <a:picLocks noChangeArrowheads="1" noChangeAspect="1"/>
                          </pic:cNvPicPr>
                        </pic:nvPicPr>
                        <pic:blipFill>
                          <a:blip r:embed="rId122"/>
                          <a:stretch>
                            <a:fillRect/>
                          </a:stretch>
                        </pic:blipFill>
                        <pic:spPr bwMode="auto">
                          <a:xfrm>
                            <a:off x="0" y="0"/>
                            <a:ext cx="5646420" cy="1870321"/>
                          </a:xfrm>
                          <a:prstGeom prst="rect">
                            <a:avLst/>
                          </a:prstGeom>
                          <a:noFill/>
                          <a:ln w="9525">
                            <a:noFill/>
                            <a:headEnd/>
                            <a:tailEnd/>
                          </a:ln>
                        </pic:spPr>
                      </pic:pic>
                    </a:graphicData>
                  </a:graphic>
                </wp:inline>
              </w:drawing>
            </w:r>
          </w:p>
          <w:bookmarkEnd w:id="125"/>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29" w:name="fig-VIPFIG"/>
          <w:p>
            <w:pPr>
              <w:pStyle w:val="Compact"/>
              <w:jc w:val="center"/>
            </w:pPr>
            <w:r>
              <w:drawing>
                <wp:inline>
                  <wp:extent cx="4753051" cy="4694529"/>
                  <wp:effectExtent b="0" l="0" r="0" t="0"/>
                  <wp:docPr descr="" title="" id="127" name="Picture"/>
                  <a:graphic>
                    <a:graphicData uri="http://schemas.openxmlformats.org/drawingml/2006/picture">
                      <pic:pic>
                        <pic:nvPicPr>
                          <pic:cNvPr descr="Chapter2/Figs/Figure7.jpg" id="128" name="Picture"/>
                          <pic:cNvPicPr>
                            <a:picLocks noChangeArrowheads="1" noChangeAspect="1"/>
                          </pic:cNvPicPr>
                        </pic:nvPicPr>
                        <pic:blipFill>
                          <a:blip r:embed="rId126"/>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29"/>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33" w:name="fig-VIPFunction"/>
          <w:p>
            <w:pPr>
              <w:pStyle w:val="Compact"/>
              <w:jc w:val="center"/>
            </w:pPr>
            <w:r>
              <w:drawing>
                <wp:inline>
                  <wp:extent cx="5226710" cy="5171846"/>
                  <wp:effectExtent b="0" l="0" r="0" t="0"/>
                  <wp:docPr descr="" title="" id="131" name="Picture"/>
                  <a:graphic>
                    <a:graphicData uri="http://schemas.openxmlformats.org/drawingml/2006/picture">
                      <pic:pic>
                        <pic:nvPicPr>
                          <pic:cNvPr descr="Chapter2/Figs/Figure8.jpg" id="132" name="Picture"/>
                          <pic:cNvPicPr>
                            <a:picLocks noChangeArrowheads="1" noChangeAspect="1"/>
                          </pic:cNvPicPr>
                        </pic:nvPicPr>
                        <pic:blipFill>
                          <a:blip r:embed="rId130"/>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33"/>
        </w:tc>
      </w:tr>
    </w:tbl>
    <w:bookmarkEnd w:id="134"/>
    <w:bookmarkStart w:id="139"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38" w:name="fig-ConfMatFIG"/>
          <w:p>
            <w:pPr>
              <w:pStyle w:val="Compact"/>
              <w:jc w:val="center"/>
            </w:pPr>
            <w:r>
              <w:drawing>
                <wp:inline>
                  <wp:extent cx="4319016" cy="4306824"/>
                  <wp:effectExtent b="0" l="0" r="0" t="0"/>
                  <wp:docPr descr="" title="" id="136" name="Picture"/>
                  <a:graphic>
                    <a:graphicData uri="http://schemas.openxmlformats.org/drawingml/2006/picture">
                      <pic:pic>
                        <pic:nvPicPr>
                          <pic:cNvPr descr="Chapter2/Figs/Figure9.jpg" id="137" name="Picture"/>
                          <pic:cNvPicPr>
                            <a:picLocks noChangeArrowheads="1" noChangeAspect="1"/>
                          </pic:cNvPicPr>
                        </pic:nvPicPr>
                        <pic:blipFill>
                          <a:blip r:embed="rId135"/>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138"/>
        </w:tc>
      </w:tr>
    </w:tbl>
    <w:bookmarkEnd w:id="139"/>
    <w:bookmarkEnd w:id="140"/>
    <w:bookmarkStart w:id="150" w:name="discussion"/>
    <w:p>
      <w:pPr>
        <w:pStyle w:val="Heading2"/>
      </w:pPr>
      <w:r>
        <w:t xml:space="preserve">2.4 Discussion</w:t>
      </w:r>
    </w:p>
    <w:bookmarkStart w:id="141"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2022a)</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(Len J. McKenzie et al., 2020b)</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2022a; See also: Oiry and Barillé, 2021b)</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41"/>
    <w:bookmarkStart w:id="146"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(S. K. 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2013a)</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2013a)</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2013b; K. S.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1994a)</w:t>
      </w:r>
      <w:r>
        <w:t xml:space="preserve">, while 3D disposition of the plants as a whole can alter the magnitude of reflectance</w:t>
      </w:r>
      <w:r>
        <w:t xml:space="preserve"> </w:t>
      </w:r>
      <w:r>
        <w:t xml:space="preserve">(John D. Hedley et al., 2018a)</w:t>
      </w:r>
      <w:r>
        <w:t xml:space="preserve">. As pigment absorptions correspond to narrow spectral bands</w:t>
      </w:r>
      <w:r>
        <w:t xml:space="preserve"> </w:t>
      </w:r>
      <w:r>
        <w:t xml:space="preserve">(Douay et al., 2022; Méléder et al., 2013a)</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S. K. 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145"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43" name="Picture"/>
                  <a:graphic>
                    <a:graphicData uri="http://schemas.openxmlformats.org/drawingml/2006/picture">
                      <pic:pic>
                        <pic:nvPicPr>
                          <pic:cNvPr descr="Chapter2/Figs/pigmentTable.png" id="144" name="Picture"/>
                          <pic:cNvPicPr>
                            <a:picLocks noChangeArrowheads="1" noChangeAspect="1"/>
                          </pic:cNvPicPr>
                        </pic:nvPicPr>
                        <pic:blipFill>
                          <a:blip r:embed="rId142"/>
                          <a:stretch>
                            <a:fillRect/>
                          </a:stretch>
                        </pic:blipFill>
                        <pic:spPr bwMode="auto">
                          <a:xfrm>
                            <a:off x="0" y="0"/>
                            <a:ext cx="5646420" cy="1510798"/>
                          </a:xfrm>
                          <a:prstGeom prst="rect">
                            <a:avLst/>
                          </a:prstGeom>
                          <a:noFill/>
                          <a:ln w="9525">
                            <a:noFill/>
                            <a:headEnd/>
                            <a:tailEnd/>
                          </a:ln>
                        </pic:spPr>
                      </pic:pic>
                    </a:graphicData>
                  </a:graphic>
                </wp:inline>
              </w:drawing>
            </w:r>
          </w:p>
          <w:bookmarkEnd w:id="145"/>
        </w:tc>
      </w:tr>
    </w:tbl>
    <w:bookmarkEnd w:id="146"/>
    <w:bookmarkStart w:id="147"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2013b)</w:t>
      </w:r>
      <w:r>
        <w:t xml:space="preserve">. Likewise,</w:t>
      </w:r>
      <w:r>
        <w:t xml:space="preserve"> </w:t>
      </w:r>
      <w:r>
        <w:t xml:space="preserve">Légaré et al. (2022a)</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(S. K. 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147"/>
    <w:bookmarkStart w:id="148"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2021b)</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148"/>
    <w:bookmarkStart w:id="149"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2020c)</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149"/>
    <w:bookmarkEnd w:id="150"/>
    <w:bookmarkEnd w:id="151"/>
    <w:bookmarkStart w:id="245" w:name="X27e1cd8292c123eed0e7ee2bdbf2cbaf1b8c277"/>
    <w:p>
      <w:pPr>
        <w:pStyle w:val="Heading1"/>
      </w:pPr>
      <w:r>
        <w:t xml:space="preserve">3. Discriminating Seagrasses from Green Macroalgae in European Intertidal Areas Using High-Resolution Multispectral Drone Imagery</w:t>
      </w:r>
    </w:p>
    <w:bookmarkStart w:id="152"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2022b)</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2022b)</w:t>
      </w:r>
      <w:r>
        <w:t xml:space="preserve">. They serve as vital habitats for a diverse array of marine and terrestrial species, providing living, breeding, and feeding grounds</w:t>
      </w:r>
      <w:r>
        <w:t xml:space="preserve"> </w:t>
      </w:r>
      <w:r>
        <w:t xml:space="preserve">(Gardner and Finlayson, 2018b;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2019b; Sousa et al., 2019; Zoffoli et al., 2021b)</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2013b)</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2019b)</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2021b)</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152"/>
    <w:bookmarkStart w:id="187" w:name="material-methods"/>
    <w:p>
      <w:pPr>
        <w:pStyle w:val="Heading2"/>
      </w:pPr>
      <w:r>
        <w:t xml:space="preserve">3.2 Material &amp; Methods</w:t>
      </w:r>
    </w:p>
    <w:bookmarkStart w:id="157"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2020b)</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156" w:name="fig-map"/>
          <w:p>
            <w:pPr>
              <w:pStyle w:val="Compact"/>
              <w:jc w:val="center"/>
            </w:pPr>
            <w:r>
              <w:drawing>
                <wp:inline>
                  <wp:extent cx="5646420" cy="5646420"/>
                  <wp:effectExtent b="0" l="0" r="0" t="0"/>
                  <wp:docPr descr="" title="" id="154" name="Picture"/>
                  <a:graphic>
                    <a:graphicData uri="http://schemas.openxmlformats.org/drawingml/2006/picture">
                      <pic:pic>
                        <pic:nvPicPr>
                          <pic:cNvPr descr="Chapter3/Figs/Figure1.png" id="155" name="Picture"/>
                          <pic:cNvPicPr>
                            <a:picLocks noChangeArrowheads="1" noChangeAspect="1"/>
                          </pic:cNvPicPr>
                        </pic:nvPicPr>
                        <pic:blipFill>
                          <a:blip r:embed="rId153"/>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156"/>
        </w:tc>
      </w:tr>
    </w:tbl>
    <w:bookmarkEnd w:id="157"/>
    <w:bookmarkStart w:id="168" w:name="field-sampling"/>
    <w:p>
      <w:pPr>
        <w:pStyle w:val="Heading3"/>
      </w:pPr>
      <w:r>
        <w:t xml:space="preserve">3.2.2 Field sampling</w:t>
      </w:r>
    </w:p>
    <w:bookmarkStart w:id="162"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161"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159" name="Picture"/>
                  <a:graphic>
                    <a:graphicData uri="http://schemas.openxmlformats.org/drawingml/2006/picture">
                      <pic:pic>
                        <pic:nvPicPr>
                          <pic:cNvPr descr="Chapter3/Figs/Table1.png" id="160" name="Picture"/>
                          <pic:cNvPicPr>
                            <a:picLocks noChangeArrowheads="1" noChangeAspect="1"/>
                          </pic:cNvPicPr>
                        </pic:nvPicPr>
                        <pic:blipFill>
                          <a:blip r:embed="rId158"/>
                          <a:stretch>
                            <a:fillRect/>
                          </a:stretch>
                        </pic:blipFill>
                        <pic:spPr bwMode="auto">
                          <a:xfrm>
                            <a:off x="0" y="0"/>
                            <a:ext cx="5646420" cy="2477358"/>
                          </a:xfrm>
                          <a:prstGeom prst="rect">
                            <a:avLst/>
                          </a:prstGeom>
                          <a:noFill/>
                          <a:ln w="9525">
                            <a:noFill/>
                            <a:headEnd/>
                            <a:tailEnd/>
                          </a:ln>
                        </pic:spPr>
                      </pic:pic>
                    </a:graphicData>
                  </a:graphic>
                </wp:inline>
              </w:drawing>
            </w:r>
          </w:p>
          <w:bookmarkEnd w:id="161"/>
        </w:tc>
      </w:tr>
    </w:tbl>
    <w:bookmarkEnd w:id="162"/>
    <w:bookmarkStart w:id="167"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166" w:name="fig-vegetation"/>
          <w:p>
            <w:pPr>
              <w:pStyle w:val="Compact"/>
              <w:jc w:val="center"/>
            </w:pPr>
            <w:r>
              <w:drawing>
                <wp:inline>
                  <wp:extent cx="5646420" cy="3952494"/>
                  <wp:effectExtent b="0" l="0" r="0" t="0"/>
                  <wp:docPr descr="" title="" id="164" name="Picture"/>
                  <a:graphic>
                    <a:graphicData uri="http://schemas.openxmlformats.org/drawingml/2006/picture">
                      <pic:pic>
                        <pic:nvPicPr>
                          <pic:cNvPr descr="Chapter3/Figs/Figure2.png" id="165" name="Picture"/>
                          <pic:cNvPicPr>
                            <a:picLocks noChangeArrowheads="1" noChangeAspect="1"/>
                          </pic:cNvPicPr>
                        </pic:nvPicPr>
                        <pic:blipFill>
                          <a:blip r:embed="rId163"/>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166"/>
        </w:tc>
      </w:tr>
    </w:tbl>
    <w:bookmarkEnd w:id="167"/>
    <w:bookmarkEnd w:id="168"/>
    <w:bookmarkStart w:id="169"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169"/>
    <w:bookmarkStart w:id="183"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3" w:name="fig-workflow"/>
          <w:p>
            <w:pPr>
              <w:pStyle w:val="Compact"/>
              <w:jc w:val="center"/>
            </w:pPr>
            <w:r>
              <w:drawing>
                <wp:inline>
                  <wp:extent cx="5646420" cy="3320212"/>
                  <wp:effectExtent b="0" l="0" r="0" t="0"/>
                  <wp:docPr descr="" title="" id="171" name="Picture"/>
                  <a:graphic>
                    <a:graphicData uri="http://schemas.openxmlformats.org/drawingml/2006/picture">
                      <pic:pic>
                        <pic:nvPicPr>
                          <pic:cNvPr descr="Chapter3/Figs/Figure3.png" id="172" name="Picture"/>
                          <pic:cNvPicPr>
                            <a:picLocks noChangeArrowheads="1" noChangeAspect="1"/>
                          </pic:cNvPicPr>
                        </pic:nvPicPr>
                        <pic:blipFill>
                          <a:blip r:embed="rId170"/>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173"/>
        </w:tc>
      </w:tr>
    </w:tbl>
    <w:bookmarkStart w:id="180"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177"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175" name="Picture"/>
                  <a:graphic>
                    <a:graphicData uri="http://schemas.openxmlformats.org/drawingml/2006/picture">
                      <pic:pic>
                        <pic:nvPicPr>
                          <pic:cNvPr descr="Chapter3/Figs/Table2.png" id="176" name="Picture"/>
                          <pic:cNvPicPr>
                            <a:picLocks noChangeArrowheads="1" noChangeAspect="1"/>
                          </pic:cNvPicPr>
                        </pic:nvPicPr>
                        <pic:blipFill>
                          <a:blip r:embed="rId174"/>
                          <a:stretch>
                            <a:fillRect/>
                          </a:stretch>
                        </pic:blipFill>
                        <pic:spPr bwMode="auto">
                          <a:xfrm>
                            <a:off x="0" y="0"/>
                            <a:ext cx="5646420" cy="2011714"/>
                          </a:xfrm>
                          <a:prstGeom prst="rect">
                            <a:avLst/>
                          </a:prstGeom>
                          <a:noFill/>
                          <a:ln w="9525">
                            <a:noFill/>
                            <a:headEnd/>
                            <a:tailEnd/>
                          </a:ln>
                        </pic:spPr>
                      </pic:pic>
                    </a:graphicData>
                  </a:graphic>
                </wp:inline>
              </w:drawing>
            </w:r>
          </w:p>
          <w:bookmarkEnd w:id="177"/>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3.2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178"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17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179"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179"/>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180"/>
    <w:bookmarkStart w:id="181"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181"/>
    <w:bookmarkStart w:id="182"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182"/>
    <w:bookmarkEnd w:id="183"/>
    <w:bookmarkStart w:id="184"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184"/>
    <w:bookmarkStart w:id="185"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185"/>
    <w:bookmarkStart w:id="186"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186"/>
    <w:bookmarkEnd w:id="187"/>
    <w:bookmarkStart w:id="230" w:name="results-1"/>
    <w:p>
      <w:pPr>
        <w:pStyle w:val="Heading2"/>
      </w:pPr>
      <w:r>
        <w:t xml:space="preserve">3.3 Results</w:t>
      </w:r>
    </w:p>
    <w:bookmarkStart w:id="192"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1" w:name="fig-CompareRef"/>
          <w:p>
            <w:pPr>
              <w:pStyle w:val="Compact"/>
              <w:jc w:val="center"/>
            </w:pPr>
            <w:r>
              <w:drawing>
                <wp:inline>
                  <wp:extent cx="5646420" cy="2426196"/>
                  <wp:effectExtent b="0" l="0" r="0" t="0"/>
                  <wp:docPr descr="" title="" id="189" name="Picture"/>
                  <a:graphic>
                    <a:graphicData uri="http://schemas.openxmlformats.org/drawingml/2006/picture">
                      <pic:pic>
                        <pic:nvPicPr>
                          <pic:cNvPr descr="Chapter3/Figs/Figure4.png" id="190" name="Picture"/>
                          <pic:cNvPicPr>
                            <a:picLocks noChangeArrowheads="1" noChangeAspect="1"/>
                          </pic:cNvPicPr>
                        </pic:nvPicPr>
                        <pic:blipFill>
                          <a:blip r:embed="rId188"/>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191"/>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192"/>
    <w:bookmarkStart w:id="209"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196" w:name="fig-GafLow"/>
          <w:p>
            <w:pPr>
              <w:pStyle w:val="Compact"/>
              <w:jc w:val="center"/>
            </w:pPr>
            <w:r>
              <w:drawing>
                <wp:inline>
                  <wp:extent cx="5646420" cy="2937902"/>
                  <wp:effectExtent b="0" l="0" r="0" t="0"/>
                  <wp:docPr descr="" title="" id="194" name="Picture"/>
                  <a:graphic>
                    <a:graphicData uri="http://schemas.openxmlformats.org/drawingml/2006/picture">
                      <pic:pic>
                        <pic:nvPicPr>
                          <pic:cNvPr descr="Chapter3/Figs/Figure5.png" id="195" name="Picture"/>
                          <pic:cNvPicPr>
                            <a:picLocks noChangeArrowheads="1" noChangeAspect="1"/>
                          </pic:cNvPicPr>
                        </pic:nvPicPr>
                        <pic:blipFill>
                          <a:blip r:embed="rId193"/>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196"/>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00" w:name="fig-GafHigh"/>
          <w:p>
            <w:pPr>
              <w:pStyle w:val="Compact"/>
              <w:jc w:val="center"/>
            </w:pPr>
            <w:r>
              <w:drawing>
                <wp:inline>
                  <wp:extent cx="5646420" cy="4800778"/>
                  <wp:effectExtent b="0" l="0" r="0" t="0"/>
                  <wp:docPr descr="" title="" id="198" name="Picture"/>
                  <a:graphic>
                    <a:graphicData uri="http://schemas.openxmlformats.org/drawingml/2006/picture">
                      <pic:pic>
                        <pic:nvPicPr>
                          <pic:cNvPr descr="Chapter3/Figs/Figure6.png" id="199" name="Picture"/>
                          <pic:cNvPicPr>
                            <a:picLocks noChangeArrowheads="1" noChangeAspect="1"/>
                          </pic:cNvPicPr>
                        </pic:nvPicPr>
                        <pic:blipFill>
                          <a:blip r:embed="rId197"/>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200"/>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04" w:name="fig-Boat"/>
          <w:p>
            <w:pPr>
              <w:pStyle w:val="Compact"/>
              <w:jc w:val="center"/>
            </w:pPr>
            <w:r>
              <w:drawing>
                <wp:inline>
                  <wp:extent cx="5646420" cy="7129639"/>
                  <wp:effectExtent b="0" l="0" r="0" t="0"/>
                  <wp:docPr descr="" title="" id="202" name="Picture"/>
                  <a:graphic>
                    <a:graphicData uri="http://schemas.openxmlformats.org/drawingml/2006/picture">
                      <pic:pic>
                        <pic:nvPicPr>
                          <pic:cNvPr descr="Chapter3/Figs/Figure7.png" id="203" name="Picture"/>
                          <pic:cNvPicPr>
                            <a:picLocks noChangeArrowheads="1" noChangeAspect="1"/>
                          </pic:cNvPicPr>
                        </pic:nvPicPr>
                        <pic:blipFill>
                          <a:blip r:embed="rId201"/>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204"/>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08" w:name="fig-Dike"/>
          <w:p>
            <w:pPr>
              <w:pStyle w:val="Compact"/>
              <w:jc w:val="center"/>
            </w:pPr>
            <w:r>
              <w:drawing>
                <wp:inline>
                  <wp:extent cx="5646420" cy="4714079"/>
                  <wp:effectExtent b="0" l="0" r="0" t="0"/>
                  <wp:docPr descr="" title="" id="206" name="Picture"/>
                  <a:graphic>
                    <a:graphicData uri="http://schemas.openxmlformats.org/drawingml/2006/picture">
                      <pic:pic>
                        <pic:nvPicPr>
                          <pic:cNvPr descr="Chapter3/Figs/Figure8.png" id="207" name="Picture"/>
                          <pic:cNvPicPr>
                            <a:picLocks noChangeArrowheads="1" noChangeAspect="1"/>
                          </pic:cNvPicPr>
                        </pic:nvPicPr>
                        <pic:blipFill>
                          <a:blip r:embed="rId205"/>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208"/>
        </w:tc>
      </w:tr>
    </w:tbl>
    <w:bookmarkEnd w:id="209"/>
    <w:bookmarkStart w:id="214"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3" w:name="fig-Validation"/>
          <w:p>
            <w:pPr>
              <w:pStyle w:val="Compact"/>
              <w:jc w:val="center"/>
            </w:pPr>
            <w:r>
              <w:drawing>
                <wp:inline>
                  <wp:extent cx="5646420" cy="3781151"/>
                  <wp:effectExtent b="0" l="0" r="0" t="0"/>
                  <wp:docPr descr="" title="" id="211" name="Picture"/>
                  <a:graphic>
                    <a:graphicData uri="http://schemas.openxmlformats.org/drawingml/2006/picture">
                      <pic:pic>
                        <pic:nvPicPr>
                          <pic:cNvPr descr="Chapter3/Figs/Figure9.png" id="212" name="Picture"/>
                          <pic:cNvPicPr>
                            <a:picLocks noChangeArrowheads="1" noChangeAspect="1"/>
                          </pic:cNvPicPr>
                        </pic:nvPicPr>
                        <pic:blipFill>
                          <a:blip r:embed="rId210"/>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13"/>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14"/>
    <w:bookmarkStart w:id="219"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8" w:name="fig-VIP"/>
          <w:p>
            <w:pPr>
              <w:pStyle w:val="Compact"/>
              <w:jc w:val="center"/>
            </w:pPr>
            <w:r>
              <w:drawing>
                <wp:inline>
                  <wp:extent cx="5646420" cy="4164933"/>
                  <wp:effectExtent b="0" l="0" r="0" t="0"/>
                  <wp:docPr descr="" title="" id="216" name="Picture"/>
                  <a:graphic>
                    <a:graphicData uri="http://schemas.openxmlformats.org/drawingml/2006/picture">
                      <pic:pic>
                        <pic:nvPicPr>
                          <pic:cNvPr descr="Chapter3/Figs/Figure10.png" id="217" name="Picture"/>
                          <pic:cNvPicPr>
                            <a:picLocks noChangeArrowheads="1" noChangeAspect="1"/>
                          </pic:cNvPicPr>
                        </pic:nvPicPr>
                        <pic:blipFill>
                          <a:blip r:embed="rId215"/>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18"/>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19"/>
    <w:bookmarkStart w:id="224"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23" w:name="fig-pixelsize"/>
          <w:p>
            <w:pPr>
              <w:pStyle w:val="Compact"/>
              <w:jc w:val="center"/>
            </w:pPr>
            <w:r>
              <w:drawing>
                <wp:inline>
                  <wp:extent cx="5349240" cy="4312690"/>
                  <wp:effectExtent b="0" l="0" r="0" t="0"/>
                  <wp:docPr descr="" title="" id="221" name="Picture"/>
                  <a:graphic>
                    <a:graphicData uri="http://schemas.openxmlformats.org/drawingml/2006/picture">
                      <pic:pic>
                        <pic:nvPicPr>
                          <pic:cNvPr descr="Chapter3/Figs/Figure11.png" id="222" name="Picture"/>
                          <pic:cNvPicPr>
                            <a:picLocks noChangeArrowheads="1" noChangeAspect="1"/>
                          </pic:cNvPicPr>
                        </pic:nvPicPr>
                        <pic:blipFill>
                          <a:blip r:embed="rId220"/>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23"/>
        </w:tc>
      </w:tr>
    </w:tbl>
    <w:bookmarkEnd w:id="224"/>
    <w:bookmarkStart w:id="229"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8" w:name="fig-upscaling"/>
          <w:p>
            <w:pPr>
              <w:pStyle w:val="Compact"/>
              <w:jc w:val="center"/>
            </w:pPr>
            <w:r>
              <w:drawing>
                <wp:inline>
                  <wp:extent cx="5646420" cy="7578268"/>
                  <wp:effectExtent b="0" l="0" r="0" t="0"/>
                  <wp:docPr descr="" title="" id="226" name="Picture"/>
                  <a:graphic>
                    <a:graphicData uri="http://schemas.openxmlformats.org/drawingml/2006/picture">
                      <pic:pic>
                        <pic:nvPicPr>
                          <pic:cNvPr descr="Chapter3/Figs/Figure12.png" id="227" name="Picture"/>
                          <pic:cNvPicPr>
                            <a:picLocks noChangeArrowheads="1" noChangeAspect="1"/>
                          </pic:cNvPicPr>
                        </pic:nvPicPr>
                        <pic:blipFill>
                          <a:blip r:embed="rId225"/>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28"/>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229"/>
    <w:bookmarkEnd w:id="230"/>
    <w:bookmarkStart w:id="243" w:name="discussion-1"/>
    <w:p>
      <w:pPr>
        <w:pStyle w:val="Heading2"/>
      </w:pPr>
      <w:r>
        <w:t xml:space="preserve">3.4 Discussion</w:t>
      </w:r>
    </w:p>
    <w:bookmarkStart w:id="239"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2021a; Veettil et al., 2020b)</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34" w:name="fig-Pigm"/>
          <w:p>
            <w:pPr>
              <w:pStyle w:val="Compact"/>
              <w:jc w:val="center"/>
            </w:pPr>
            <w:r>
              <w:drawing>
                <wp:inline>
                  <wp:extent cx="5943600" cy="2877014"/>
                  <wp:effectExtent b="0" l="0" r="0" t="0"/>
                  <wp:docPr descr="" title="" id="232" name="Picture"/>
                  <a:graphic>
                    <a:graphicData uri="http://schemas.openxmlformats.org/drawingml/2006/picture">
                      <pic:pic>
                        <pic:nvPicPr>
                          <pic:cNvPr descr="Chapter3/Figs/Figure13.png" id="233" name="Picture"/>
                          <pic:cNvPicPr>
                            <a:picLocks noChangeArrowheads="1" noChangeAspect="1"/>
                          </pic:cNvPicPr>
                        </pic:nvPicPr>
                        <pic:blipFill>
                          <a:blip r:embed="rId231"/>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2013b; Ralph et al., 2002)</w:t>
            </w:r>
            <w:r>
              <w:t xml:space="preserve">.</w:t>
            </w:r>
          </w:p>
          <w:bookmarkEnd w:id="234"/>
        </w:tc>
      </w:tr>
    </w:tbl>
    <w:tbl>
      <w:tblPr>
        <w:tblStyle w:val="Table"/>
        <w:tblW w:type="pct" w:w="5000"/>
        <w:tblLayout w:type="fixed"/>
        <w:tblLook w:firstRow="0" w:lastRow="0" w:firstColumn="0" w:lastColumn="0" w:noHBand="0" w:noVBand="0" w:val="0000"/>
      </w:tblPr>
      <w:tblGrid>
        <w:gridCol w:w="7920"/>
      </w:tblGrid>
      <w:tr>
        <w:tc>
          <w:tcPr/>
          <w:bookmarkStart w:id="238" w:name="fig-ValidationGreen"/>
          <w:p>
            <w:pPr>
              <w:pStyle w:val="Compact"/>
              <w:jc w:val="center"/>
            </w:pPr>
            <w:r>
              <w:drawing>
                <wp:inline>
                  <wp:extent cx="2971800" cy="2121448"/>
                  <wp:effectExtent b="0" l="0" r="0" t="0"/>
                  <wp:docPr descr="" title="" id="236" name="Picture"/>
                  <a:graphic>
                    <a:graphicData uri="http://schemas.openxmlformats.org/drawingml/2006/picture">
                      <pic:pic>
                        <pic:nvPicPr>
                          <pic:cNvPr descr="Chapter3/Figs/Figure14.png" id="237" name="Picture"/>
                          <pic:cNvPicPr>
                            <a:picLocks noChangeArrowheads="1" noChangeAspect="1"/>
                          </pic:cNvPicPr>
                        </pic:nvPicPr>
                        <pic:blipFill>
                          <a:blip r:embed="rId235"/>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38"/>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(A. Bargain et al., 2013a)</w:t>
      </w:r>
      <w:r>
        <w:t xml:space="preserve">, cellular structure as well as in the orientation of the plant at the sediment surface</w:t>
      </w:r>
      <w:r>
        <w:t xml:space="preserve"> </w:t>
      </w:r>
      <w:r>
        <w:t xml:space="preserve">(K. Beach et al., 1997; John D. Hedley et al., 2018b; Kirk, 1994b)</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39"/>
    <w:bookmarkStart w:id="240"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(A. Bargain et al., 2013a; Légaré et al., 2022b)</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S.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40"/>
    <w:bookmarkStart w:id="241"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241"/>
    <w:bookmarkStart w:id="242"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(Frank E. Muller-Karger et al., 2018b; Oiry and Barillé, 2021a;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2021b)</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2021b)</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2021b)</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42"/>
    <w:bookmarkEnd w:id="243"/>
    <w:bookmarkStart w:id="244"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244"/>
    <w:bookmarkEnd w:id="245"/>
    <w:bookmarkStart w:id="246" w:name="summary"/>
    <w:p>
      <w:pPr>
        <w:pStyle w:val="Heading1"/>
      </w:pPr>
      <w:r>
        <w:t xml:space="preserve">4. Summary</w:t>
      </w:r>
    </w:p>
    <w:p>
      <w:pPr>
        <w:pStyle w:val="FirstParagraph"/>
      </w:pPr>
      <w:r>
        <w:t xml:space="preserve">In summary, this book has no content whatsoever.</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End w:id="246"/>
    <w:bookmarkStart w:id="549" w:name="references"/>
    <w:p>
      <w:pPr>
        <w:pStyle w:val="Heading1"/>
      </w:pPr>
      <w:r>
        <w:t xml:space="preserve">References</w:t>
      </w:r>
    </w:p>
    <w:bookmarkStart w:id="548" w:name="refs"/>
    <w:bookmarkStart w:id="247" w:name="ref-adade2021"/>
    <w:p>
      <w:pPr>
        <w:pStyle w:val="Bibliography"/>
      </w:pPr>
      <w:r>
        <w:t xml:space="preserve">Adade, R., Aibinu, A.M., Ekumah, B., Asaana, J., 2021. Unmanned aerial vehicle (UAV) applications in coastal zone management—a review. Environmental Monitoring and Assessment 193, 1–12.</w:t>
      </w:r>
    </w:p>
    <w:bookmarkEnd w:id="247"/>
    <w:bookmarkStart w:id="248" w:name="ref-aghanim2020resultats"/>
    <w:p>
      <w:pPr>
        <w:pStyle w:val="Bibliography"/>
      </w:pPr>
      <w:r>
        <w:t xml:space="preserve">Aghanim, N., Dole, H., 2020. Les r</w:t>
      </w:r>
      <w:r>
        <w:t xml:space="preserve">é</w:t>
      </w:r>
      <w:r>
        <w:t xml:space="preserve">sultats cosmologiques de la mission planck. Reflets de la physique 4–7.</w:t>
      </w:r>
    </w:p>
    <w:bookmarkEnd w:id="248"/>
    <w:bookmarkStart w:id="250" w:name="ref-agisoft"/>
    <w:p>
      <w:pPr>
        <w:pStyle w:val="Bibliography"/>
      </w:pPr>
      <w:r>
        <w:t xml:space="preserve">Agisoft, 2019.</w:t>
      </w:r>
      <w:r>
        <w:t xml:space="preserve"> </w:t>
      </w:r>
      <w:hyperlink r:id="rId249">
        <w:r>
          <w:rPr>
            <w:rStyle w:val="Hyperlink"/>
          </w:rPr>
          <w:t xml:space="preserve">Agisoft metashape</w:t>
        </w:r>
      </w:hyperlink>
      <w:r>
        <w:t xml:space="preserve">.</w:t>
      </w:r>
    </w:p>
    <w:bookmarkEnd w:id="250"/>
    <w:bookmarkStart w:id="251"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251"/>
    <w:bookmarkStart w:id="252"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252"/>
    <w:bookmarkStart w:id="254" w:name="ref-ASI2020"/>
    <w:p>
      <w:pPr>
        <w:pStyle w:val="Bibliography"/>
      </w:pPr>
      <w:r>
        <w:t xml:space="preserve">ASI, 2020.</w:t>
      </w:r>
      <w:r>
        <w:t xml:space="preserve"> </w:t>
      </w:r>
      <w:hyperlink r:id="rId253">
        <w:r>
          <w:rPr>
            <w:rStyle w:val="Hyperlink"/>
          </w:rPr>
          <w:t xml:space="preserve">PRISMA products specification document issue 2.3 date 12/03/2020</w:t>
        </w:r>
      </w:hyperlink>
      <w:r>
        <w:t xml:space="preserve">.</w:t>
      </w:r>
    </w:p>
    <w:bookmarkEnd w:id="254"/>
    <w:bookmarkStart w:id="255"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255"/>
    <w:bookmarkStart w:id="256"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256"/>
    <w:bookmarkStart w:id="257" w:name="ref-Bargain2012"/>
    <w:p>
      <w:pPr>
        <w:pStyle w:val="Bibliography"/>
      </w:pPr>
      <w:r>
        <w:t xml:space="preserve">Bargain, A., Robin, M., Le Men, E., Huete, A., Barillé, L., 2012. Spectral response of the seagrass zostera noltii with different sediment backgrounds. Aquatic Botany 98, 45–56.</w:t>
      </w:r>
    </w:p>
    <w:bookmarkEnd w:id="257"/>
    <w:bookmarkStart w:id="259" w:name="ref-Bargain2013"/>
    <w:p>
      <w:pPr>
        <w:pStyle w:val="Bibliography"/>
      </w:pPr>
      <w:r>
        <w:t xml:space="preserve">Bargain, A., Robin, M., Méléder, V., Rosa, P., Le Menn, E., Harin, N., Barillé, L., 2013b.</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258">
        <w:r>
          <w:rPr>
            <w:rStyle w:val="Hyperlink"/>
          </w:rPr>
          <w:t xml:space="preserve">https://doi.org/10.1016/j.jembe.2013.04.012</w:t>
        </w:r>
      </w:hyperlink>
    </w:p>
    <w:bookmarkEnd w:id="259"/>
    <w:bookmarkStart w:id="260" w:name="ref-bargain2013seasonal"/>
    <w:p>
      <w:pPr>
        <w:pStyle w:val="Bibliography"/>
      </w:pPr>
      <w:r>
        <w:t xml:space="preserve">Bargain, A., Robin, M., Méléder, V., Rosa, P., Le Menn, E., Harin, N., Barillé, L., 2013a. Seasonal spectral variation of zostera noltii and its influence on pigment-based vegetation indices. Journal of experimental marine biology and ecology 446, 86–94.</w:t>
      </w:r>
    </w:p>
    <w:bookmarkEnd w:id="260"/>
    <w:bookmarkStart w:id="262"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261">
        <w:r>
          <w:rPr>
            <w:rStyle w:val="Hyperlink"/>
          </w:rPr>
          <w:t xml:space="preserve">https://doi.org/10.1016/j.rse.2010.12.008</w:t>
        </w:r>
      </w:hyperlink>
    </w:p>
    <w:bookmarkEnd w:id="262"/>
    <w:bookmarkStart w:id="264"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263">
        <w:r>
          <w:rPr>
            <w:rStyle w:val="Hyperlink"/>
          </w:rPr>
          <w:t xml:space="preserve">https://doi.org/10.1016/j.aquabot.2009.11.006</w:t>
        </w:r>
      </w:hyperlink>
    </w:p>
    <w:bookmarkEnd w:id="264"/>
    <w:bookmarkStart w:id="265" w:name="ref-beach1997vivo"/>
    <w:p>
      <w:pPr>
        <w:pStyle w:val="Bibliography"/>
      </w:pPr>
      <w:r>
        <w:t xml:space="preserve">Beach, K., Borgeas, H., Nishimura, N., Smith, C., 1997. In vivo absorbance spectra and the ecophysiology of reef macroalgae. Coral Reefs 16, 21–28.</w:t>
      </w:r>
    </w:p>
    <w:bookmarkEnd w:id="265"/>
    <w:bookmarkStart w:id="267" w:name="ref-Beach1997"/>
    <w:p>
      <w:pPr>
        <w:pStyle w:val="Bibliography"/>
      </w:pPr>
      <w:r>
        <w:t xml:space="preserve">Beach, K.S., Borgeas, H.B., Nishimura, N.J., Smith, C.M., 1997.</w:t>
      </w:r>
      <w:r>
        <w:t xml:space="preserve"> </w:t>
      </w:r>
      <w:r>
        <w:t xml:space="preserve">In vivo absorbance spectra and the ecophysiology of reef macroalgae</w:t>
      </w:r>
      <w:r>
        <w:t xml:space="preserve">. Coral Reefs 16, 21–28.</w:t>
      </w:r>
      <w:r>
        <w:t xml:space="preserve"> </w:t>
      </w:r>
      <w:hyperlink r:id="rId266">
        <w:r>
          <w:rPr>
            <w:rStyle w:val="Hyperlink"/>
          </w:rPr>
          <w:t xml:space="preserve">https://doi.org/10.1007/s003380050055</w:t>
        </w:r>
      </w:hyperlink>
    </w:p>
    <w:bookmarkEnd w:id="267"/>
    <w:bookmarkStart w:id="269"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268">
        <w:r>
          <w:rPr>
            <w:rStyle w:val="Hyperlink"/>
          </w:rPr>
          <w:t xml:space="preserve">https://doi.org/10.1007/s12237-021-00949-8</w:t>
        </w:r>
      </w:hyperlink>
    </w:p>
    <w:bookmarkEnd w:id="269"/>
    <w:bookmarkStart w:id="270"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270"/>
    <w:bookmarkStart w:id="271" w:name="ref-blum2009drowning"/>
    <w:p>
      <w:pPr>
        <w:pStyle w:val="Bibliography"/>
      </w:pPr>
      <w:r>
        <w:t xml:space="preserve">Blum, M.D., Roberts, H.H., 2009. Drowning of the mississippi delta due to insufficient sediment supply and global sea-level rise. Nature geoscience 2, 488–491.</w:t>
      </w:r>
    </w:p>
    <w:bookmarkEnd w:id="271"/>
    <w:bookmarkStart w:id="272"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272"/>
    <w:bookmarkStart w:id="274" w:name="ref-Brondizio2019"/>
    <w:p>
      <w:pPr>
        <w:pStyle w:val="Bibliography"/>
      </w:pPr>
      <w:r>
        <w:t xml:space="preserve">Brondízio, E.S., Settele, J., Díaz, S., Ngo, H.T.(eds)., 2019.</w:t>
      </w:r>
      <w:r>
        <w:t xml:space="preserve"> </w:t>
      </w:r>
      <w:hyperlink r:id="rId273">
        <w:r>
          <w:rPr>
            <w:rStyle w:val="Hyperlink"/>
          </w:rPr>
          <w:t xml:space="preserve">IPBES (2019), Global assessment report of the Intergovernmental Science-Policy Platform on Biodiversity and Ecosystem Services</w:t>
        </w:r>
      </w:hyperlink>
      <w:r>
        <w:t xml:space="preserve">.</w:t>
      </w:r>
    </w:p>
    <w:bookmarkEnd w:id="274"/>
    <w:bookmarkStart w:id="276"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275">
        <w:r>
          <w:rPr>
            <w:rStyle w:val="Hyperlink"/>
          </w:rPr>
          <w:t xml:space="preserve">https://doi.org/10.3390/RS14020307</w:t>
        </w:r>
      </w:hyperlink>
    </w:p>
    <w:bookmarkEnd w:id="276"/>
    <w:bookmarkStart w:id="277"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277"/>
    <w:bookmarkStart w:id="279"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278">
        <w:r>
          <w:rPr>
            <w:rStyle w:val="Hyperlink"/>
          </w:rPr>
          <w:t xml:space="preserve">https://doi.org/10.1139/cjfas-2016-0137</w:t>
        </w:r>
      </w:hyperlink>
    </w:p>
    <w:bookmarkEnd w:id="279"/>
    <w:bookmarkStart w:id="280"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280"/>
    <w:bookmarkStart w:id="281"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281"/>
    <w:bookmarkStart w:id="283"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282">
        <w:r>
          <w:rPr>
            <w:rStyle w:val="Hyperlink"/>
          </w:rPr>
          <w:t xml:space="preserve">https://doi.org/10.1016/j.csr.2013.01.010</w:t>
        </w:r>
      </w:hyperlink>
    </w:p>
    <w:bookmarkEnd w:id="283"/>
    <w:bookmarkStart w:id="285"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284">
        <w:r>
          <w:rPr>
            <w:rStyle w:val="Hyperlink"/>
          </w:rPr>
          <w:t xml:space="preserve">https://doi.org/10.1007/s00227-012-1987-5</w:t>
        </w:r>
      </w:hyperlink>
    </w:p>
    <w:bookmarkEnd w:id="285"/>
    <w:bookmarkStart w:id="286" w:name="ref-casella2020"/>
    <w:p>
      <w:pPr>
        <w:pStyle w:val="Bibliography"/>
      </w:pPr>
      <w:r>
        <w:t xml:space="preserve">Casella, E., Drechsel, J., Winter, C., Benninghoff, M., Rovere, A., 2020. Accuracy of sand beach topography surveying by drones and photogrammetry. Geo-Marine Letters 40, 255–268.</w:t>
      </w:r>
    </w:p>
    <w:bookmarkEnd w:id="286"/>
    <w:bookmarkStart w:id="288"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287">
        <w:r>
          <w:rPr>
            <w:rStyle w:val="Hyperlink"/>
          </w:rPr>
          <w:t xml:space="preserve">https://doi.org/10.1016/j.algal.2017.04.021</w:t>
        </w:r>
      </w:hyperlink>
    </w:p>
    <w:bookmarkEnd w:id="288"/>
    <w:bookmarkStart w:id="289"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289"/>
    <w:bookmarkStart w:id="290" w:name="ref-chefaoui2018dramatic"/>
    <w:p>
      <w:pPr>
        <w:pStyle w:val="Bibliography"/>
      </w:pPr>
      <w:r>
        <w:t xml:space="preserve">Chefaoui, R.M., Duarte, C.M., Serrão, E.A., 2018. Dramatic loss of seagrass habitat under projected climate change in the mediterranean sea. Global change biology 24, 4919–4928.</w:t>
      </w:r>
    </w:p>
    <w:bookmarkEnd w:id="290"/>
    <w:bookmarkStart w:id="291" w:name="ref-christensen1977seaweeds"/>
    <w:p>
      <w:pPr>
        <w:pStyle w:val="Bibliography"/>
      </w:pPr>
      <w:r>
        <w:t xml:space="preserve">Christensen, T., Dixon, P.S., Irvine, L.M., 1977. Seaweeds of the british isles: Tribophyceae (xanthophyceae). British Museum (Natural History).</w:t>
      </w:r>
    </w:p>
    <w:bookmarkEnd w:id="291"/>
    <w:bookmarkStart w:id="292" w:name="ref-cikovs2022recent"/>
    <w:p>
      <w:pPr>
        <w:pStyle w:val="Bibliography"/>
      </w:pPr>
      <w:r>
        <w:t xml:space="preserve">Cikoš, A.-M., Šubarić, D., Roje, M., Babić, J., Jerković, I., Jokić, S., 2022. Recent advances on macroalgal pigments and their biological activities (2016–2021). Algal research 65, 102748.</w:t>
      </w:r>
    </w:p>
    <w:bookmarkEnd w:id="292"/>
    <w:bookmarkStart w:id="29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293"/>
    <w:bookmarkStart w:id="294" w:name="ref-collin2019improving"/>
    <w:p>
      <w:pPr>
        <w:pStyle w:val="Bibliography"/>
      </w:pPr>
      <w:r>
        <w:t xml:space="preserve">Collin, A., Dubois, S., James, D., Houet, T., 2019. Improving intertidal reef mapping using UAV surface, red edge, and near-infrared data. Drones 3, 67.</w:t>
      </w:r>
    </w:p>
    <w:bookmarkEnd w:id="294"/>
    <w:bookmarkStart w:id="295"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295"/>
    <w:bookmarkStart w:id="296"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296"/>
    <w:bookmarkStart w:id="298"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297">
        <w:r>
          <w:rPr>
            <w:rStyle w:val="Hyperlink"/>
          </w:rPr>
          <w:t xml:space="preserve">https://doi.org/10.1016/j.ecolind.2020.107018</w:t>
        </w:r>
      </w:hyperlink>
    </w:p>
    <w:bookmarkEnd w:id="298"/>
    <w:bookmarkStart w:id="299"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299"/>
    <w:bookmarkStart w:id="300"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300"/>
    <w:bookmarkStart w:id="301"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301"/>
    <w:bookmarkStart w:id="303"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302">
        <w:r>
          <w:rPr>
            <w:rStyle w:val="Hyperlink"/>
          </w:rPr>
          <w:t xml:space="preserve">https://doi.org/10.1016/j.rse.2023.113554</w:t>
        </w:r>
      </w:hyperlink>
    </w:p>
    <w:bookmarkEnd w:id="303"/>
    <w:bookmarkStart w:id="304" w:name="ref-Davies2022b"/>
    <w:p>
      <w:pPr>
        <w:pStyle w:val="Bibliography"/>
      </w:pPr>
      <w:r>
        <w:t xml:space="preserve">Davies, B.F.R., Holmes, L., Attrill, M.J., Sheehan, E.V., 2022. Ecosystem benefits of adopting a whole-site approach to MPA management. Fisheries Management and Ecology.</w:t>
      </w:r>
    </w:p>
    <w:bookmarkEnd w:id="304"/>
    <w:bookmarkStart w:id="305"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305"/>
    <w:bookmarkStart w:id="306"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306"/>
    <w:bookmarkStart w:id="308" w:name="ref-BedeGbif"/>
    <w:p>
      <w:pPr>
        <w:pStyle w:val="Bibliography"/>
      </w:pPr>
      <w:r>
        <w:t xml:space="preserve">Davies, B.F.R., Sousa, A.I., Figueira, R., Oiry, S., Gernez, P., Barillé, L., 2023b. Benthic intertidal vegetation from the tagus estuary and aveiro lagoon.</w:t>
      </w:r>
      <w:r>
        <w:t xml:space="preserve"> </w:t>
      </w:r>
      <w:hyperlink r:id="rId307">
        <w:r>
          <w:rPr>
            <w:rStyle w:val="Hyperlink"/>
          </w:rPr>
          <w:t xml:space="preserve">https://doi.org/10.15468/n4ak6x</w:t>
        </w:r>
      </w:hyperlink>
    </w:p>
    <w:bookmarkEnd w:id="308"/>
    <w:bookmarkStart w:id="309" w:name="ref-davis2003review"/>
    <w:p>
      <w:pPr>
        <w:pStyle w:val="Bibliography"/>
      </w:pPr>
      <w:r>
        <w:t xml:space="preserve">Davis, T.A., Volesky, B., Mucci, A., 2003. A review of the biochemistry of heavy metal biosorption by brown algae. Water research 37, 4311–4330.</w:t>
      </w:r>
    </w:p>
    <w:bookmarkEnd w:id="309"/>
    <w:bookmarkStart w:id="310" w:name="ref-de1995wind"/>
    <w:p>
      <w:pPr>
        <w:pStyle w:val="Bibliography"/>
      </w:pPr>
      <w:r>
        <w:t xml:space="preserve">De Jorge, V., Van Beusekom, J., 1995. Wind-and tide-induced resuspension of sediment and microphytobenthos from tidal flats in the ems estuary. Limnology and oceanography 40, 776–778.</w:t>
      </w:r>
    </w:p>
    <w:bookmarkEnd w:id="310"/>
    <w:bookmarkStart w:id="311" w:name="ref-decho2000microbial"/>
    <w:p>
      <w:pPr>
        <w:pStyle w:val="Bibliography"/>
      </w:pPr>
      <w:r>
        <w:t xml:space="preserve">Decho, A.W., 2000. Microbial biofilms in intertidal systems: An overview. Continental shelf research 20, 1257–1273.</w:t>
      </w:r>
    </w:p>
    <w:bookmarkEnd w:id="311"/>
    <w:bookmarkStart w:id="312"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312"/>
    <w:bookmarkStart w:id="313"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313"/>
    <w:bookmarkStart w:id="314" w:name="ref-devlin2023nutrients"/>
    <w:p>
      <w:pPr>
        <w:pStyle w:val="Bibliography"/>
      </w:pPr>
      <w:r>
        <w:t xml:space="preserve">Devlin, M., Brodie, J., 2023. Nutrients and eutrophication, in: Marine Pollution–Monitoring, Management and Mitigation. Springer, pp. 75–100.</w:t>
      </w:r>
    </w:p>
    <w:bookmarkEnd w:id="314"/>
    <w:bookmarkStart w:id="316"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315">
        <w:r>
          <w:rPr>
            <w:rStyle w:val="Hyperlink"/>
          </w:rPr>
          <w:t xml:space="preserve">https://doi.org/10.1016/j.rse.2015.01.027</w:t>
        </w:r>
      </w:hyperlink>
    </w:p>
    <w:bookmarkEnd w:id="316"/>
    <w:bookmarkStart w:id="317"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317"/>
    <w:bookmarkStart w:id="318" w:name="ref-Diruit2022"/>
    <w:p>
      <w:pPr>
        <w:pStyle w:val="Bibliography"/>
      </w:pPr>
      <w:r>
        <w:t xml:space="preserve">Diruit, W., Le Bris, A., Bajjouk, T., Richier, S., Helias, M., Burel, T., Lennon, M., Guyot, A., Ar Gall, E., 2022. Seaweed habitats on the shore: Characterization through hyperspectral UAV imagery and field sampling. Remote Sensing 14, 3124.</w:t>
      </w:r>
    </w:p>
    <w:bookmarkEnd w:id="318"/>
    <w:bookmarkStart w:id="320" w:name="ref-Douay2022"/>
    <w:p>
      <w:pPr>
        <w:pStyle w:val="Bibliography"/>
      </w:pPr>
      <w:r>
        <w:t xml:space="preserve">Douay, F., Verpoorter, C., Duong, G., Spilmont, N., Gevaert, F., 2022. New hyperspectral procedure to discriminate intertidal macroalgae. Remote Sensing 14.</w:t>
      </w:r>
      <w:r>
        <w:t xml:space="preserve"> </w:t>
      </w:r>
      <w:hyperlink r:id="rId319">
        <w:r>
          <w:rPr>
            <w:rStyle w:val="Hyperlink"/>
          </w:rPr>
          <w:t xml:space="preserve">https://doi.org/10.3390/rs14020346</w:t>
        </w:r>
      </w:hyperlink>
    </w:p>
    <w:bookmarkEnd w:id="320"/>
    <w:bookmarkStart w:id="321"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321"/>
    <w:bookmarkStart w:id="322"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322"/>
    <w:bookmarkStart w:id="323"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323"/>
    <w:bookmarkStart w:id="324"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324"/>
    <w:bookmarkStart w:id="325"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325"/>
    <w:bookmarkStart w:id="326"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326"/>
    <w:bookmarkStart w:id="327"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327"/>
    <w:bookmarkStart w:id="328"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328"/>
    <w:bookmarkStart w:id="329"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329"/>
    <w:bookmarkStart w:id="330" w:name="ref-foden2007angiosperms"/>
    <w:p>
      <w:pPr>
        <w:pStyle w:val="Bibliography"/>
      </w:pPr>
      <w:r>
        <w:t xml:space="preserve">Foden, J., Brazier, D., 2007. Angiosperms (seagrass) within the EU water framework directive: A UK perspective. Marine Pollution Bulletin 55, 181–195.</w:t>
      </w:r>
    </w:p>
    <w:bookmarkEnd w:id="330"/>
    <w:bookmarkStart w:id="331"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331"/>
    <w:bookmarkStart w:id="333" w:name="ref-R-rsample"/>
    <w:p>
      <w:pPr>
        <w:pStyle w:val="Bibliography"/>
      </w:pPr>
      <w:r>
        <w:t xml:space="preserve">Frick, H., Chow, F., Kuhn, M., Mahoney, M., Silge, J., Wickham, H., 2024.</w:t>
      </w:r>
      <w:r>
        <w:t xml:space="preserve"> </w:t>
      </w:r>
      <w:hyperlink r:id="rId332">
        <w:r>
          <w:rPr>
            <w:rStyle w:val="Hyperlink"/>
          </w:rPr>
          <w:t xml:space="preserve">Rsample: General resampling infrastructure</w:t>
        </w:r>
      </w:hyperlink>
      <w:r>
        <w:t xml:space="preserve">.</w:t>
      </w:r>
    </w:p>
    <w:bookmarkEnd w:id="333"/>
    <w:bookmarkStart w:id="334" w:name="ref-fyfe2003spatial"/>
    <w:p>
      <w:pPr>
        <w:pStyle w:val="Bibliography"/>
      </w:pPr>
      <w:r>
        <w:t xml:space="preserve">Fyfe, S., 2003. Spatial and temporal variation in spectral reflectance: Are seagrass species spectrally distinct? Limnology and Oceanography 48, 464–479.</w:t>
      </w:r>
    </w:p>
    <w:bookmarkEnd w:id="334"/>
    <w:bookmarkStart w:id="336" w:name="ref-Fyfe2003"/>
    <w:p>
      <w:pPr>
        <w:pStyle w:val="Bibliography"/>
      </w:pPr>
      <w:r>
        <w:t xml:space="preserve">Fyfe, S.K., 2003.</w:t>
      </w:r>
      <w:r>
        <w:t xml:space="preserve"> </w:t>
      </w:r>
      <w:r>
        <w:t xml:space="preserve">Spatial and temporal variation in spectral reflectance: Are seagrass species spectrally distinct?</w:t>
      </w:r>
      <w:r>
        <w:t xml:space="preserve"> Limnology and Oceanography 48, 464–479.</w:t>
      </w:r>
      <w:r>
        <w:t xml:space="preserve"> </w:t>
      </w:r>
      <w:hyperlink r:id="rId335">
        <w:r>
          <w:rPr>
            <w:rStyle w:val="Hyperlink"/>
          </w:rPr>
          <w:t xml:space="preserve">https://doi.org/10.4319/lo.2003.48.1_part_2.0464</w:t>
        </w:r>
      </w:hyperlink>
    </w:p>
    <w:bookmarkEnd w:id="336"/>
    <w:bookmarkStart w:id="337" w:name="ref-Gardner2018"/>
    <w:p>
      <w:pPr>
        <w:pStyle w:val="Bibliography"/>
      </w:pPr>
      <w:r>
        <w:t xml:space="preserve">Gardner, R.C., Finlayson, C., 2018a. Global wetland outlook: State of the world’s wetlands and their services to people, in: Ramsar Convention Secretariat. pp. 2020–5.</w:t>
      </w:r>
    </w:p>
    <w:bookmarkEnd w:id="337"/>
    <w:bookmarkStart w:id="338" w:name="ref-gardner2018"/>
    <w:p>
      <w:pPr>
        <w:pStyle w:val="Bibliography"/>
      </w:pPr>
      <w:r>
        <w:t xml:space="preserve">Gardner, R.C., Finlayson, C., 2018b. Global wetland outlook: State of the world’s wetlands and their services to people. Stetson Law.</w:t>
      </w:r>
    </w:p>
    <w:bookmarkEnd w:id="338"/>
    <w:bookmarkStart w:id="340"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339">
        <w:r>
          <w:rPr>
            <w:rStyle w:val="Hyperlink"/>
          </w:rPr>
          <w:t xml:space="preserve">https://doi.org/10.1016/j.ecss.2021.107320</w:t>
        </w:r>
      </w:hyperlink>
    </w:p>
    <w:bookmarkEnd w:id="340"/>
    <w:bookmarkStart w:id="341"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341"/>
    <w:bookmarkStart w:id="342" w:name="ref-Green2021"/>
    <w:p>
      <w:pPr>
        <w:pStyle w:val="Bibliography"/>
      </w:pPr>
      <w:r>
        <w:t xml:space="preserve">Green, A.E., Unsworth, R.K., Chadwick, M.A., Jones, P.J., 2021. Historical analysis exposes catastrophic seagrass loss for the united kingdom. Frontiers in plant science 261.</w:t>
      </w:r>
    </w:p>
    <w:bookmarkEnd w:id="342"/>
    <w:bookmarkStart w:id="344" w:name="ref-R-vip"/>
    <w:p>
      <w:pPr>
        <w:pStyle w:val="Bibliography"/>
      </w:pPr>
      <w:r>
        <w:t xml:space="preserve">Greenwell, B.M., Boehmke, B., 2023.</w:t>
      </w:r>
      <w:r>
        <w:t xml:space="preserve"> </w:t>
      </w:r>
      <w:hyperlink r:id="rId343">
        <w:r>
          <w:rPr>
            <w:rStyle w:val="Hyperlink"/>
          </w:rPr>
          <w:t xml:space="preserve">Vip: Variable importance plots</w:t>
        </w:r>
      </w:hyperlink>
      <w:r>
        <w:t xml:space="preserve">.</w:t>
      </w:r>
    </w:p>
    <w:bookmarkEnd w:id="344"/>
    <w:bookmarkStart w:id="345" w:name="ref-Guyot1990"/>
    <w:p>
      <w:pPr>
        <w:pStyle w:val="Bibliography"/>
      </w:pPr>
      <w:r>
        <w:t xml:space="preserve">Guyot, G., 1990. Optical properties of vegetation canopies. Optical properties of vegetation canopies. 19–43.</w:t>
      </w:r>
    </w:p>
    <w:bookmarkEnd w:id="345"/>
    <w:bookmarkStart w:id="346"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346"/>
    <w:bookmarkStart w:id="347" w:name="ref-hanley2024victim"/>
    <w:p>
      <w:pPr>
        <w:pStyle w:val="Bibliography"/>
      </w:pPr>
      <w:r>
        <w:t xml:space="preserve">Hanley, M.E., Firth, L.B., Foggo, A., 2024. Victim of changes? Marine macroalgae in a changing world. Annals of Botany 133, 1–16.</w:t>
      </w:r>
    </w:p>
    <w:bookmarkEnd w:id="347"/>
    <w:bookmarkStart w:id="348" w:name="ref-haro2023biointertidal"/>
    <w:p>
      <w:pPr>
        <w:pStyle w:val="Bibliography"/>
      </w:pPr>
      <w:r>
        <w:t xml:space="preserve">Haro, S., Jimenez-Reina, J., Bermejo, R., Morrison, L., 2023. BioIntertidal mapper software: A satellite approach for NDVI-based intertidal habitat mapping. SoftwareX 24, 101520.</w:t>
      </w:r>
    </w:p>
    <w:bookmarkEnd w:id="348"/>
    <w:bookmarkStart w:id="349" w:name="ref-hassan2005ecosystems"/>
    <w:p>
      <w:pPr>
        <w:pStyle w:val="Bibliography"/>
      </w:pPr>
      <w:r>
        <w:t xml:space="preserve">Hassan, R., Scholes, R., Ash, N., 2005. Ecosystems and human well-being: Current state and trends.</w:t>
      </w:r>
    </w:p>
    <w:bookmarkEnd w:id="349"/>
    <w:bookmarkStart w:id="351" w:name="ref-Hedley2018"/>
    <w:p>
      <w:pPr>
        <w:pStyle w:val="Bibliography"/>
      </w:pPr>
      <w:r>
        <w:t xml:space="preserve">Hedley, John D., Mirhakak, M., Wentworth, A., Dierssen, H.M., 2018a. Influence of three-dimensional coral structures on hyperspectral benthic reflectance and water-leaving reflectance. Applied Sciences 8.</w:t>
      </w:r>
      <w:r>
        <w:t xml:space="preserve"> </w:t>
      </w:r>
      <w:hyperlink r:id="rId350">
        <w:r>
          <w:rPr>
            <w:rStyle w:val="Hyperlink"/>
          </w:rPr>
          <w:t xml:space="preserve">https://doi.org/10.3390/app8122688</w:t>
        </w:r>
      </w:hyperlink>
    </w:p>
    <w:bookmarkEnd w:id="351"/>
    <w:bookmarkStart w:id="352" w:name="ref-hedley2018influence"/>
    <w:p>
      <w:pPr>
        <w:pStyle w:val="Bibliography"/>
      </w:pPr>
      <w:r>
        <w:t xml:space="preserve">Hedley, John D., Mirhakak, M., Wentworth, A., Dierssen, H.M., 2018b. Influence of three-dimensional coral structures on hyperspectral benthic reflectance and water-leaving reflectance. Applied Sciences 8, 2688.</w:t>
      </w:r>
    </w:p>
    <w:bookmarkEnd w:id="352"/>
    <w:bookmarkStart w:id="354"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353">
        <w:r>
          <w:rPr>
            <w:rStyle w:val="Hyperlink"/>
          </w:rPr>
          <w:t xml:space="preserve">https://doi.org/10.1016/j.rse.2015.05.023</w:t>
        </w:r>
      </w:hyperlink>
    </w:p>
    <w:bookmarkEnd w:id="354"/>
    <w:bookmarkStart w:id="355"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355"/>
    <w:bookmarkStart w:id="357"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356">
        <w:r>
          <w:rPr>
            <w:rStyle w:val="Hyperlink"/>
          </w:rPr>
          <w:t xml:space="preserve">https://doi.org/10.1016/j.envpol.2021.117731</w:t>
        </w:r>
      </w:hyperlink>
    </w:p>
    <w:bookmarkEnd w:id="357"/>
    <w:bookmarkStart w:id="358" w:name="ref-howard2018fastai"/>
    <w:p>
      <w:pPr>
        <w:pStyle w:val="Bibliography"/>
      </w:pPr>
      <w:r>
        <w:t xml:space="preserve">Howard, J., others, 2018. Fastai.</w:t>
      </w:r>
    </w:p>
    <w:bookmarkEnd w:id="358"/>
    <w:bookmarkStart w:id="360"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359">
        <w:r>
          <w:rPr>
            <w:rStyle w:val="Hyperlink"/>
          </w:rPr>
          <w:t xml:space="preserve">https://doi.org/10.1016/j.rse.2017.01.037</w:t>
        </w:r>
      </w:hyperlink>
    </w:p>
    <w:bookmarkEnd w:id="360"/>
    <w:bookmarkStart w:id="362" w:name="ref-ign"/>
    <w:p>
      <w:pPr>
        <w:pStyle w:val="Bibliography"/>
      </w:pPr>
      <w:r>
        <w:t xml:space="preserve">IGN, 2024.</w:t>
      </w:r>
      <w:r>
        <w:t xml:space="preserve"> </w:t>
      </w:r>
      <w:hyperlink r:id="rId361">
        <w:r>
          <w:rPr>
            <w:rStyle w:val="Hyperlink"/>
          </w:rPr>
          <w:t xml:space="preserve">Institut national de l’information géographique et forestiere (IGN)</w:t>
        </w:r>
      </w:hyperlink>
      <w:r>
        <w:t xml:space="preserve">.</w:t>
      </w:r>
    </w:p>
    <w:bookmarkEnd w:id="362"/>
    <w:bookmarkStart w:id="363" w:name="ref-ismail2020therapeutic"/>
    <w:p>
      <w:pPr>
        <w:pStyle w:val="Bibliography"/>
      </w:pPr>
      <w:r>
        <w:t xml:space="preserve">Ismail, M.M., Alotaibi, B.S., El-Sheekh, M.M., 2020. Therapeutic uses of red macroalgae. Molecules 25, 4411.</w:t>
      </w:r>
    </w:p>
    <w:bookmarkEnd w:id="363"/>
    <w:bookmarkStart w:id="365" w:name="ref-itopf_statistics"/>
    <w:p>
      <w:pPr>
        <w:pStyle w:val="Bibliography"/>
      </w:pPr>
      <w:r>
        <w:t xml:space="preserve">(ITOPF), I.T.O.P.F., 2023.</w:t>
      </w:r>
      <w:r>
        <w:t xml:space="preserve"> </w:t>
      </w:r>
      <w:hyperlink r:id="rId364">
        <w:r>
          <w:rPr>
            <w:rStyle w:val="Hyperlink"/>
          </w:rPr>
          <w:t xml:space="preserve">Statistics - ITOPF</w:t>
        </w:r>
      </w:hyperlink>
      <w:r>
        <w:t xml:space="preserve">.</w:t>
      </w:r>
    </w:p>
    <w:bookmarkEnd w:id="365"/>
    <w:bookmarkStart w:id="366"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366"/>
    <w:bookmarkStart w:id="367"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367"/>
    <w:bookmarkStart w:id="369" w:name="ref-IMO2020GHG"/>
    <w:p>
      <w:pPr>
        <w:pStyle w:val="Bibliography"/>
      </w:pPr>
      <w:r>
        <w:t xml:space="preserve">Jasper Faber, S.Z., Shinichi Hanayama, 2021.</w:t>
      </w:r>
      <w:r>
        <w:t xml:space="preserve"> </w:t>
      </w:r>
      <w:hyperlink r:id="rId368">
        <w:r>
          <w:rPr>
            <w:rStyle w:val="Hyperlink"/>
          </w:rPr>
          <w:t xml:space="preserve">Fourth IMO GHG study 2020: Executive summary</w:t>
        </w:r>
      </w:hyperlink>
      <w:r>
        <w:t xml:space="preserve">. International Maritime Organization (IMO), 4 Albert Embankment, London SE1 7SR.</w:t>
      </w:r>
    </w:p>
    <w:bookmarkEnd w:id="369"/>
    <w:bookmarkStart w:id="370"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370"/>
    <w:bookmarkStart w:id="372"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371">
        <w:r>
          <w:rPr>
            <w:rStyle w:val="Hyperlink"/>
          </w:rPr>
          <w:t xml:space="preserve">https://doi.org/10.1177/0309133309339563</w:t>
        </w:r>
      </w:hyperlink>
    </w:p>
    <w:bookmarkEnd w:id="372"/>
    <w:bookmarkStart w:id="373" w:name="ref-joyce2023"/>
    <w:p>
      <w:pPr>
        <w:pStyle w:val="Bibliography"/>
      </w:pPr>
      <w:r>
        <w:t xml:space="preserve">Joyce, K.E., Fickas, K.C., Kalamandeen, M., 2023. The unique value proposition for using drones to map coastal ecosystems. Cambridge Prisms: Coastal Futures 1, e6.</w:t>
      </w:r>
    </w:p>
    <w:bookmarkEnd w:id="373"/>
    <w:bookmarkStart w:id="374"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374"/>
    <w:bookmarkStart w:id="375" w:name="ref-Kirk1994"/>
    <w:p>
      <w:pPr>
        <w:pStyle w:val="Bibliography"/>
      </w:pPr>
      <w:r>
        <w:t xml:space="preserve">Kirk, J.T., 1994a. Light and photosynthesis in aquatic ecosystems. Cambridge university press.</w:t>
      </w:r>
    </w:p>
    <w:bookmarkEnd w:id="375"/>
    <w:bookmarkStart w:id="376" w:name="ref-kirk1994light"/>
    <w:p>
      <w:pPr>
        <w:pStyle w:val="Bibliography"/>
      </w:pPr>
      <w:r>
        <w:t xml:space="preserve">Kirk, J.T., 1994b. Light and photosynthesis in aquatic ecosystems. Cambridge university press.</w:t>
      </w:r>
    </w:p>
    <w:bookmarkEnd w:id="376"/>
    <w:bookmarkStart w:id="377" w:name="ref-klemas2012remote"/>
    <w:p>
      <w:pPr>
        <w:pStyle w:val="Bibliography"/>
      </w:pPr>
      <w:r>
        <w:t xml:space="preserve">Klemas, V., 2012. Remote sensing of algal blooms: An overview with case studies. Journal of coastal research 28, 34–43.</w:t>
      </w:r>
    </w:p>
    <w:bookmarkEnd w:id="377"/>
    <w:bookmarkStart w:id="378"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378"/>
    <w:bookmarkStart w:id="380"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379">
        <w:r>
          <w:rPr>
            <w:rStyle w:val="Hyperlink"/>
          </w:rPr>
          <w:t xml:space="preserve">https://doi.org/10.1063/1.44433</w:t>
        </w:r>
      </w:hyperlink>
    </w:p>
    <w:bookmarkEnd w:id="380"/>
    <w:bookmarkStart w:id="382" w:name="ref-R-yardstick"/>
    <w:p>
      <w:pPr>
        <w:pStyle w:val="Bibliography"/>
      </w:pPr>
      <w:r>
        <w:t xml:space="preserve">Kuhn, M., Vaughan, D., Hvitfeldt, E., 2024.</w:t>
      </w:r>
      <w:r>
        <w:t xml:space="preserve"> </w:t>
      </w:r>
      <w:hyperlink r:id="rId381">
        <w:r>
          <w:rPr>
            <w:rStyle w:val="Hyperlink"/>
          </w:rPr>
          <w:t xml:space="preserve">Yardstick: Tidy characterizations of model performance</w:t>
        </w:r>
      </w:hyperlink>
      <w:r>
        <w:t xml:space="preserve">.</w:t>
      </w:r>
    </w:p>
    <w:bookmarkEnd w:id="382"/>
    <w:bookmarkStart w:id="384" w:name="ref-tidymodels2020"/>
    <w:p>
      <w:pPr>
        <w:pStyle w:val="Bibliography"/>
      </w:pPr>
      <w:r>
        <w:t xml:space="preserve">Kuhn, M., Wickham, H., 2020.</w:t>
      </w:r>
      <w:r>
        <w:t xml:space="preserve"> </w:t>
      </w:r>
      <w:hyperlink r:id="rId383">
        <w:r>
          <w:rPr>
            <w:rStyle w:val="Hyperlink"/>
          </w:rPr>
          <w:t xml:space="preserve">Tidymodels: A collection of packages for modeling and machine learning using tidyverse principles.</w:t>
        </w:r>
      </w:hyperlink>
    </w:p>
    <w:bookmarkEnd w:id="384"/>
    <w:bookmarkStart w:id="386"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385">
        <w:r>
          <w:rPr>
            <w:rStyle w:val="Hyperlink"/>
          </w:rPr>
          <w:t xml:space="preserve">https://doi.org/10.1016/j.ecss.2005.12.004</w:t>
        </w:r>
      </w:hyperlink>
    </w:p>
    <w:bookmarkEnd w:id="386"/>
    <w:bookmarkStart w:id="387"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387"/>
    <w:bookmarkStart w:id="388"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388"/>
    <w:bookmarkStart w:id="389"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389"/>
    <w:bookmarkStart w:id="390" w:name="ref-Legare2022"/>
    <w:p>
      <w:pPr>
        <w:pStyle w:val="Bibliography"/>
      </w:pPr>
      <w:r>
        <w:t xml:space="preserve">Légaré, B., Bélanger, S., Singh, R.K., Bernatchez, P., Cusson, M., 2022a. Remote sensing of coastal vegetation phenology in a cold temperate intertidal system: Implications for classification of coastal habitats. Remote Sensing 14, 3000.</w:t>
      </w:r>
    </w:p>
    <w:bookmarkEnd w:id="390"/>
    <w:bookmarkStart w:id="391" w:name="ref-legare2022remote"/>
    <w:p>
      <w:pPr>
        <w:pStyle w:val="Bibliography"/>
      </w:pPr>
      <w:r>
        <w:t xml:space="preserve">Légaré, B., Bélanger, S., Singh, R.K., Bernatchez, P., Cusson, M., 2022b. Remote sensing of coastal vegetation phenology in a cold temperate intertidal system: Implications for classification of coastal habitats. Remote Sensing 14, 3000.</w:t>
      </w:r>
    </w:p>
    <w:bookmarkEnd w:id="391"/>
    <w:bookmarkStart w:id="392"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392"/>
    <w:bookmarkStart w:id="393"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393"/>
    <w:bookmarkStart w:id="394"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394"/>
    <w:bookmarkStart w:id="395"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395"/>
    <w:bookmarkStart w:id="396"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396"/>
    <w:bookmarkStart w:id="397" w:name="ref-de2019recent"/>
    <w:p>
      <w:pPr>
        <w:pStyle w:val="Bibliography"/>
      </w:pPr>
      <w:r>
        <w:t xml:space="preserve">Los Santos, C.B. de, Krause-Jensen, D., Alcoverro, T., Marbà, N., Duarte, C.M., Van Katwijk, M.M., Pérez, M., Romero, J., Sánchez-Lizaso, J.L., Roca, G., others, 2019a. Recent trend reversal for declining european seagrass meadows. Nature communications 10, 3356.</w:t>
      </w:r>
    </w:p>
    <w:bookmarkEnd w:id="397"/>
    <w:bookmarkStart w:id="398" w:name="ref-deSantos2019"/>
    <w:p>
      <w:pPr>
        <w:pStyle w:val="Bibliography"/>
      </w:pPr>
      <w:r>
        <w:t xml:space="preserve">Los Santos, C.B. de, Krause-Jensen, D., Alcoverro, T., Marbà, N., Duarte, C.M., Van Katwijk, M.M., Pérez, M., Romero, J., Sánchez-Lizaso, J.L., Roca, G., others, 2019b. Recent trend reversal for declining european seagrass meadows. Nature communications 10, 3356.</w:t>
      </w:r>
    </w:p>
    <w:bookmarkEnd w:id="398"/>
    <w:bookmarkStart w:id="399" w:name="ref-louime2017sargassum"/>
    <w:p>
      <w:pPr>
        <w:pStyle w:val="Bibliography"/>
      </w:pPr>
      <w:r>
        <w:t xml:space="preserve">Louime, C., Fortune, J., Gervais, G., 2017. Sargassum invasion of coastal environments: A growing concern. American Journal of Environmental Sciences 13, 58–64.</w:t>
      </w:r>
    </w:p>
    <w:bookmarkEnd w:id="399"/>
    <w:bookmarkStart w:id="400" w:name="ref-lovelock2017mangrove"/>
    <w:p>
      <w:pPr>
        <w:pStyle w:val="Bibliography"/>
      </w:pPr>
      <w:r>
        <w:t xml:space="preserve">Lovelock, C.E., Feller, I.C., Reef, R., Hickey, S., Ball, M.C., 2017. Mangrove dieback during fluctuating sea levels. Scientific Reports 7, 1680.</w:t>
      </w:r>
    </w:p>
    <w:bookmarkEnd w:id="400"/>
    <w:bookmarkStart w:id="401"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401"/>
    <w:bookmarkStart w:id="402"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402"/>
    <w:bookmarkStart w:id="403"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403"/>
    <w:bookmarkStart w:id="404"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404"/>
    <w:bookmarkStart w:id="405"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405"/>
    <w:bookmarkStart w:id="407" w:name="ref-Mcilwaine2019"/>
    <w:p>
      <w:pPr>
        <w:pStyle w:val="Bibliography"/>
      </w:pPr>
      <w:r>
        <w:t xml:space="preserve">Mcilwaine, B., Casado, M.R., Leinster, P., 2019.</w:t>
      </w:r>
      <w:r>
        <w:t xml:space="preserve"> </w:t>
      </w:r>
      <w:r>
        <w:t xml:space="preserve">Using 1st derivative reflectance signatures within a remote sensing framework to identify macroalgae in Marine environments</w:t>
      </w:r>
      <w:r>
        <w:t xml:space="preserve">. Remote Sensing 11, 1–23.</w:t>
      </w:r>
      <w:r>
        <w:t xml:space="preserve"> </w:t>
      </w:r>
      <w:hyperlink r:id="rId406">
        <w:r>
          <w:rPr>
            <w:rStyle w:val="Hyperlink"/>
          </w:rPr>
          <w:t xml:space="preserve">https://doi.org/10.3390/rs11060704</w:t>
        </w:r>
      </w:hyperlink>
    </w:p>
    <w:bookmarkEnd w:id="407"/>
    <w:bookmarkStart w:id="408" w:name="ref-mckenzie2020global"/>
    <w:p>
      <w:pPr>
        <w:pStyle w:val="Bibliography"/>
      </w:pPr>
      <w:r>
        <w:t xml:space="preserve">McKenzie, Len J., Nordlund, L.M., Jones, B.L., Cullen-Unsworth, L.C., Roelfsema, C., Unsworth, R.K., 2020a. The global distribution of seagrass meadows. Environmental Research Letters 15, 074041.</w:t>
      </w:r>
    </w:p>
    <w:bookmarkEnd w:id="408"/>
    <w:bookmarkStart w:id="409" w:name="ref-McKenzie2020"/>
    <w:p>
      <w:pPr>
        <w:pStyle w:val="Bibliography"/>
      </w:pPr>
      <w:r>
        <w:t xml:space="preserve">McKenzie, Len J., Nordlund, L.M., Jones, B.L., Cullen-Unsworth, L.C., Roelfsema, C., Unsworth, R.K.F., 2020b.</w:t>
      </w:r>
      <w:r>
        <w:t xml:space="preserve"> </w:t>
      </w:r>
      <w:r>
        <w:t xml:space="preserve">The global distribution of seagrass meadows</w:t>
      </w:r>
      <w:r>
        <w:t xml:space="preserve">. Environmental Research Letters 15.</w:t>
      </w:r>
    </w:p>
    <w:bookmarkEnd w:id="409"/>
    <w:bookmarkStart w:id="410"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410"/>
    <w:bookmarkStart w:id="411"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411"/>
    <w:bookmarkStart w:id="412" w:name="ref-meleder2018microphytobenthos"/>
    <w:p>
      <w:pPr>
        <w:pStyle w:val="Bibliography"/>
      </w:pPr>
      <w:r>
        <w:t xml:space="preserve">Méléder, V., Jesus, B., Barnett, A., Barillé, L., Lavaud, J., 2018. Microphytobenthos primary production estimated by hyperspectral reflectance. PloS one 13, e0197093.</w:t>
      </w:r>
    </w:p>
    <w:bookmarkEnd w:id="412"/>
    <w:bookmarkStart w:id="413" w:name="ref-meleder2003cartographie"/>
    <w:p>
      <w:pPr>
        <w:pStyle w:val="Bibliography"/>
      </w:pPr>
      <w:r>
        <w:t xml:space="preserve">Méléder, Vona, Launeau, P., Barillé, L., Rincé, Y., 2003.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413"/>
    <w:bookmarkStart w:id="415" w:name="ref-Meleder2013"/>
    <w:p>
      <w:pPr>
        <w:pStyle w:val="Bibliography"/>
      </w:pPr>
      <w:r>
        <w:t xml:space="preserve">Méléder, V., Laviale, M., Jesus, B., Mouget, J.L., Lavaud, J., Kazemipour, F., Launeau, P., Barillé, L., 2013a.</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414">
        <w:r>
          <w:rPr>
            <w:rStyle w:val="Hyperlink"/>
          </w:rPr>
          <w:t xml:space="preserve">https://doi.org/10.1016/j.jphotobiol.2013.10.005</w:t>
        </w:r>
      </w:hyperlink>
    </w:p>
    <w:bookmarkEnd w:id="415"/>
    <w:bookmarkStart w:id="416" w:name="ref-meleder2013vivo"/>
    <w:p>
      <w:pPr>
        <w:pStyle w:val="Bibliography"/>
      </w:pPr>
      <w:r>
        <w:t xml:space="preserve">Méléder, V., Laviale, M., Jesus, B., Mouget, J.L., Lavaud, J., Kazemipour, F., Launeau, P., Barillé, L., 2013b. In vivo estimation of pigment composition and optical absorption cross-section by spectroradiometry in four aquatic photosynthetic micro-organisms. Journal of Photochemistry and Photobiology B: Biology 129, 115–124.</w:t>
      </w:r>
    </w:p>
    <w:bookmarkEnd w:id="416"/>
    <w:bookmarkStart w:id="417"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417"/>
    <w:bookmarkStart w:id="418"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418"/>
    <w:bookmarkStart w:id="420"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419">
        <w:r>
          <w:rPr>
            <w:rStyle w:val="Hyperlink"/>
          </w:rPr>
          <w:t xml:space="preserve">https://doi.org/10.1111/GCB.14108</w:t>
        </w:r>
      </w:hyperlink>
    </w:p>
    <w:bookmarkEnd w:id="420"/>
    <w:bookmarkStart w:id="421"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421"/>
    <w:bookmarkStart w:id="423"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422">
        <w:r>
          <w:rPr>
            <w:rStyle w:val="Hyperlink"/>
          </w:rPr>
          <w:t xml:space="preserve">https://doi.org/10.1038/s41598-021-83597-z</w:t>
        </w:r>
      </w:hyperlink>
    </w:p>
    <w:bookmarkEnd w:id="423"/>
    <w:bookmarkStart w:id="424" w:name="ref-moreira2022underexplored"/>
    <w:p>
      <w:pPr>
        <w:pStyle w:val="Bibliography"/>
      </w:pPr>
      <w:r>
        <w:t xml:space="preserve">Moreira, A., Cruz, S., Marques, R., Cartaxana, P., 2022. The underexplored potential of green macroalgae in aquaculture. Reviews in Aquaculture 14, 5–26.</w:t>
      </w:r>
    </w:p>
    <w:bookmarkEnd w:id="424"/>
    <w:bookmarkStart w:id="426"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425">
        <w:r>
          <w:rPr>
            <w:rStyle w:val="Hyperlink"/>
          </w:rPr>
          <w:t xml:space="preserve">https://doi.org/10.1017/s0031182002001476</w:t>
        </w:r>
      </w:hyperlink>
    </w:p>
    <w:bookmarkEnd w:id="426"/>
    <w:bookmarkStart w:id="427"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427"/>
    <w:bookmarkStart w:id="429" w:name="ref-Muller-Karger2018"/>
    <w:p>
      <w:pPr>
        <w:pStyle w:val="Bibliography"/>
      </w:pPr>
      <w:r>
        <w:t xml:space="preserve">Muller-Karger, Frank 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2018a.</w:t>
      </w:r>
      <w:r>
        <w:t xml:space="preserve"> </w:t>
      </w:r>
      <w:r>
        <w:t xml:space="preserve">Satellite sensor requirements for monitoring essential biodiversity variables of coastal ecosystems</w:t>
      </w:r>
      <w:r>
        <w:t xml:space="preserve">. Ecological Applications 28, 749–760.</w:t>
      </w:r>
      <w:r>
        <w:t xml:space="preserve"> </w:t>
      </w:r>
      <w:hyperlink r:id="rId428">
        <w:r>
          <w:rPr>
            <w:rStyle w:val="Hyperlink"/>
          </w:rPr>
          <w:t xml:space="preserve">https://doi.org/10.1002/eap.1682</w:t>
        </w:r>
      </w:hyperlink>
    </w:p>
    <w:bookmarkEnd w:id="429"/>
    <w:bookmarkStart w:id="430" w:name="ref-muller2018satellite"/>
    <w:p>
      <w:pPr>
        <w:pStyle w:val="Bibliography"/>
      </w:pPr>
      <w:r>
        <w:t xml:space="preserve">Muller-Karger, Frank E., Hestir, E., Ade, C., Turpie, K., Roberts, D.A., Siegel, D., Miller, R.J., Humm, D., Izenberg, N., Keller, M., others, 2018b. Satellite sensor requirements for monitoring essential biodiversity variables of coastal ecosystems. Ecological applications 28, 749–760.</w:t>
      </w:r>
    </w:p>
    <w:bookmarkEnd w:id="430"/>
    <w:bookmarkStart w:id="431" w:name="ref-muller10satellite"/>
    <w:p>
      <w:pPr>
        <w:pStyle w:val="Bibliography"/>
      </w:pPr>
      <w:r>
        <w:t xml:space="preserve">Muller-Karger, F.E., Hestir, E., Ade, C., Turpie, K., Roberts, D., Siegel, D., Miller, R., Humm, D., Izenberg, N., Keller, M., others, 2018. Satellite sensor requirements for monitoring essential biodiversity variables of coastal ecosystems., 2018, 28. DOI: https://doi. org/10.1002/eap 1682, 749–760.</w:t>
      </w:r>
    </w:p>
    <w:bookmarkEnd w:id="431"/>
    <w:bookmarkStart w:id="432" w:name="ref-murray2019global"/>
    <w:p>
      <w:pPr>
        <w:pStyle w:val="Bibliography"/>
      </w:pPr>
      <w:r>
        <w:t xml:space="preserve">Murray, Nicholas J., Phinn, S.R., DeWitt, M., Ferrari, R., Johnston, R., Lyons, M.B., Clinton, N., Thau, D., Fuller, R.A., 2019a. The global distribution and trajectory of tidal flats. Nature 565, 222–225.</w:t>
      </w:r>
    </w:p>
    <w:bookmarkEnd w:id="432"/>
    <w:bookmarkStart w:id="434" w:name="ref-Murray2019"/>
    <w:p>
      <w:pPr>
        <w:pStyle w:val="Bibliography"/>
      </w:pPr>
      <w:r>
        <w:t xml:space="preserve">Murray, Nicholas J., Phinn, S.R., DeWitt, M., Ferrari, R., Johnston, R., Lyons, M.B., Clinton, N., Thau, D., Fuller, R.A., 2019b.</w:t>
      </w:r>
      <w:r>
        <w:t xml:space="preserve"> </w:t>
      </w:r>
      <w:r>
        <w:t xml:space="preserve">The global distribution and trajectory of tidal flats</w:t>
      </w:r>
      <w:r>
        <w:t xml:space="preserve">. Nature 565, 222–225.</w:t>
      </w:r>
      <w:r>
        <w:t xml:space="preserve"> </w:t>
      </w:r>
      <w:hyperlink r:id="rId433">
        <w:r>
          <w:rPr>
            <w:rStyle w:val="Hyperlink"/>
          </w:rPr>
          <w:t xml:space="preserve">https://doi.org/10.1038/s41586-018-0805-8</w:t>
        </w:r>
      </w:hyperlink>
    </w:p>
    <w:bookmarkEnd w:id="434"/>
    <w:bookmarkStart w:id="435"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435"/>
    <w:bookmarkStart w:id="436" w:name="ref-nguyen2021"/>
    <w:p>
      <w:pPr>
        <w:pStyle w:val="Bibliography"/>
      </w:pPr>
      <w:r>
        <w:t xml:space="preserve">Nguyen, H.M., Ralph, P.J., Marı́n-Guirao, L., Pernice, M., Procaccini, G., 2021. Seagrasses in an era of ocean warming: A review. Biological Reviews 96, 2009–2030.</w:t>
      </w:r>
    </w:p>
    <w:bookmarkEnd w:id="436"/>
    <w:bookmarkStart w:id="437"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437"/>
    <w:bookmarkStart w:id="439" w:name="ref-Nijland2019"/>
    <w:p>
      <w:pPr>
        <w:pStyle w:val="Bibliography"/>
      </w:pPr>
      <w:r>
        <w:t xml:space="preserve">Nijland, W., Reshitnyk, L., Rubidge, E., 2019a.</w:t>
      </w:r>
      <w:r>
        <w:t xml:space="preserve"> </w:t>
      </w:r>
      <w:r>
        <w:t xml:space="preserve">Satellite remote sensing of canopy-forming kelp on a complex coastline: A novel procedure using the Landsat image archive</w:t>
      </w:r>
      <w:r>
        <w:t xml:space="preserve">. Remote Sensing of Environment 220, 41–50.</w:t>
      </w:r>
      <w:r>
        <w:t xml:space="preserve"> </w:t>
      </w:r>
      <w:hyperlink r:id="rId438">
        <w:r>
          <w:rPr>
            <w:rStyle w:val="Hyperlink"/>
          </w:rPr>
          <w:t xml:space="preserve">https://doi.org/10.1016/j.rse.2018.10.032</w:t>
        </w:r>
      </w:hyperlink>
    </w:p>
    <w:bookmarkEnd w:id="439"/>
    <w:bookmarkStart w:id="440" w:name="ref-nijland2019"/>
    <w:p>
      <w:pPr>
        <w:pStyle w:val="Bibliography"/>
      </w:pPr>
      <w:r>
        <w:t xml:space="preserve">Nijland, W., Reshitnyk, L., Rubidge, E., 2019b. Satellite remote sensing of canopy-forming kelp on a complex coastline: A novel procedure using the landsat image archive. Remote Sensing of Environment 220, 41–50.</w:t>
      </w:r>
    </w:p>
    <w:bookmarkEnd w:id="440"/>
    <w:bookmarkStart w:id="441"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441"/>
    <w:bookmarkStart w:id="442" w:name="ref-n1999primary"/>
    <w:p>
      <w:pPr>
        <w:pStyle w:val="Bibliography"/>
      </w:pPr>
      <w:r>
        <w:t xml:space="preserve">N-Uptake, A., 1999. Primary production by phytoplankton and microphytobenthos in estuaries. Estuaries 29, 93.</w:t>
      </w:r>
    </w:p>
    <w:bookmarkEnd w:id="442"/>
    <w:bookmarkStart w:id="443"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443"/>
    <w:bookmarkStart w:id="444" w:name="ref-oh2017use"/>
    <w:p>
      <w:pPr>
        <w:pStyle w:val="Bibliography"/>
      </w:pPr>
      <w:r>
        <w:t xml:space="preserve">Oh, J., Kim, D., Lee, H., 2017. Use of a drone for mapping and time series image acquisition of tidal zones. Journal of the Korean Institute of Intelligent Systems 27, 119–125.</w:t>
      </w:r>
    </w:p>
    <w:bookmarkEnd w:id="444"/>
    <w:bookmarkStart w:id="446" w:name="ref-Oiry2021"/>
    <w:p>
      <w:pPr>
        <w:pStyle w:val="Bibliography"/>
      </w:pPr>
      <w:r>
        <w:t xml:space="preserve">Oiry, S., Barillé, L., 2021b.</w:t>
      </w:r>
      <w:r>
        <w:t xml:space="preserve"> </w:t>
      </w:r>
      <w:r>
        <w:t xml:space="preserve">Using sentinel-2 satellite imagery to develop microphytobenthos-based water quality indices in estuaries</w:t>
      </w:r>
      <w:r>
        <w:t xml:space="preserve">. Ecological Indicators 121.</w:t>
      </w:r>
      <w:r>
        <w:t xml:space="preserve"> </w:t>
      </w:r>
      <w:hyperlink r:id="rId445">
        <w:r>
          <w:rPr>
            <w:rStyle w:val="Hyperlink"/>
          </w:rPr>
          <w:t xml:space="preserve">https://doi.org/10.1016/j.ecolind.2020.107184</w:t>
        </w:r>
      </w:hyperlink>
    </w:p>
    <w:bookmarkEnd w:id="446"/>
    <w:bookmarkStart w:id="447" w:name="ref-oiry2021using"/>
    <w:p>
      <w:pPr>
        <w:pStyle w:val="Bibliography"/>
      </w:pPr>
      <w:r>
        <w:t xml:space="preserve">Oiry, S., Barillé, L., 2021a. Using sentinel-2 satellite imagery to develop microphytobenthos-based water quality indices in estuaries. Ecological Indicators 121, 107184.</w:t>
      </w:r>
    </w:p>
    <w:bookmarkEnd w:id="447"/>
    <w:bookmarkStart w:id="449"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448">
        <w:r>
          <w:rPr>
            <w:rStyle w:val="Hyperlink"/>
          </w:rPr>
          <w:t xml:space="preserve">Vegan: Community ecology package</w:t>
        </w:r>
      </w:hyperlink>
      <w:r>
        <w:t xml:space="preserve">.</w:t>
      </w:r>
    </w:p>
    <w:bookmarkEnd w:id="449"/>
    <w:bookmarkStart w:id="451" w:name="ref-Olmedo-Masat2020"/>
    <w:p>
      <w:pPr>
        <w:pStyle w:val="Bibliography"/>
      </w:pPr>
      <w:r>
        <w:t xml:space="preserve">Olmedo-Masat, O.M., Paula Raffo, M., Rodríguez-Pérez, D., Arijón, M., Sánchez-Carnero, N., 2020.</w:t>
      </w:r>
      <w:r>
        <w:t xml:space="preserve"> </w:t>
      </w:r>
      <w:r>
        <w:t xml:space="preserve">How far can we classify macroalgae remotely? An example using a new spectral library of species from the south west atlantic (argentine patagonia)</w:t>
      </w:r>
      <w:r>
        <w:t xml:space="preserve">. Remote Sensing 12, 1–33.</w:t>
      </w:r>
      <w:r>
        <w:t xml:space="preserve"> </w:t>
      </w:r>
      <w:hyperlink r:id="rId450">
        <w:r>
          <w:rPr>
            <w:rStyle w:val="Hyperlink"/>
          </w:rPr>
          <w:t xml:space="preserve">https://doi.org/10.3390/rs12233870</w:t>
        </w:r>
      </w:hyperlink>
    </w:p>
    <w:bookmarkEnd w:id="451"/>
    <w:bookmarkStart w:id="452"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452"/>
    <w:bookmarkStart w:id="453"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453"/>
    <w:bookmarkStart w:id="455"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454">
        <w:r>
          <w:rPr>
            <w:rStyle w:val="Hyperlink"/>
          </w:rPr>
          <w:t xml:space="preserve">https://doi.org/10.5281/zenodo.3463051</w:t>
        </w:r>
      </w:hyperlink>
    </w:p>
    <w:bookmarkEnd w:id="455"/>
    <w:bookmarkStart w:id="456"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 R</w:t>
      </w:r>
      <w:r>
        <w:t xml:space="preserve">é</w:t>
      </w:r>
      <w:r>
        <w:t xml:space="preserve">cup</w:t>
      </w:r>
      <w:r>
        <w:t xml:space="preserve">é</w:t>
      </w:r>
      <w:r>
        <w:t xml:space="preserve">r</w:t>
      </w:r>
      <w:r>
        <w:t xml:space="preserve">é</w:t>
      </w:r>
      <w:r>
        <w:t xml:space="preserve"> </w:t>
      </w:r>
      <w:r>
        <w:t xml:space="preserve">de: http://eur-lex. europa. eu/legal-content/FR/TXT/PDF.</w:t>
      </w:r>
    </w:p>
    <w:bookmarkEnd w:id="456"/>
    <w:bookmarkStart w:id="457"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457"/>
    <w:bookmarkStart w:id="458"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458"/>
    <w:bookmarkStart w:id="459" w:name="ref-pereira2013essential"/>
    <w:p>
      <w:pPr>
        <w:pStyle w:val="Bibliography"/>
      </w:pPr>
      <w:r>
        <w:t xml:space="preserve">Pereira, H.M., Ferrier, S., Walters, M., Geller, G.N., Jongman, R.H., Scholes, R.J., Bruford, M.W., Brummitt, N., Butchart, S.H., Cardoso, A., others, 2013a. Essential biodiversity variables. Science 339, 277–278.</w:t>
      </w:r>
    </w:p>
    <w:bookmarkEnd w:id="459"/>
    <w:bookmarkStart w:id="460" w:name="ref-Pereira2013"/>
    <w:p>
      <w:pPr>
        <w:pStyle w:val="Bibliography"/>
      </w:pPr>
      <w:r>
        <w:t xml:space="preserve">Pereira, H.M., Ferrier, S., Walters, M., Geller, G.N., Jongman, R.H., Scholes, R.J., Bruford, M.W., Brummitt, N., Butchart, S.H., Cardoso, A., others, 2013b. Essential biodiversity variables. Science 339, 277–278.</w:t>
      </w:r>
    </w:p>
    <w:bookmarkEnd w:id="460"/>
    <w:bookmarkStart w:id="461"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461"/>
    <w:bookmarkStart w:id="462"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462"/>
    <w:bookmarkStart w:id="463"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463"/>
    <w:bookmarkStart w:id="465" w:name="ref-R-base"/>
    <w:p>
      <w:pPr>
        <w:pStyle w:val="Bibliography"/>
      </w:pPr>
      <w:r>
        <w:t xml:space="preserve">R Core Team, 2023.</w:t>
      </w:r>
      <w:r>
        <w:t xml:space="preserve"> </w:t>
      </w:r>
      <w:hyperlink r:id="rId464">
        <w:r>
          <w:rPr>
            <w:rStyle w:val="Hyperlink"/>
          </w:rPr>
          <w:t xml:space="preserve">R: A language and environment for statistical computing</w:t>
        </w:r>
      </w:hyperlink>
      <w:r>
        <w:t xml:space="preserve">. R Foundation for Statistical Computing, Vienna, Austria.</w:t>
      </w:r>
    </w:p>
    <w:bookmarkEnd w:id="465"/>
    <w:bookmarkStart w:id="466"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466"/>
    <w:bookmarkStart w:id="467" w:name="ref-rasheed2011long"/>
    <w:p>
      <w:pPr>
        <w:pStyle w:val="Bibliography"/>
      </w:pPr>
      <w:r>
        <w:t xml:space="preserve">Rasheed, M.A., Unsworth, R.K., 2011. Long-term climate-associated dynamics of a tropical seagrass meadow: Implications for the future. Marine Ecology Progress Series 422, 93–103.</w:t>
      </w:r>
    </w:p>
    <w:bookmarkEnd w:id="467"/>
    <w:bookmarkStart w:id="468"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468"/>
    <w:bookmarkStart w:id="469"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469"/>
    <w:bookmarkStart w:id="47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470"/>
    <w:bookmarkStart w:id="47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471">
        <w:r>
          <w:rPr>
            <w:rStyle w:val="Hyperlink"/>
          </w:rPr>
          <w:t xml:space="preserve">https://doi.org/10.3389/fmars.2022.1004012</w:t>
        </w:r>
      </w:hyperlink>
    </w:p>
    <w:bookmarkEnd w:id="472"/>
    <w:bookmarkStart w:id="473" w:name="ref-Roman2021"/>
    <w:p>
      <w:pPr>
        <w:pStyle w:val="Bibliography"/>
      </w:pPr>
      <w:r>
        <w:t xml:space="preserve">Román, A., Tovar-Sánchez, A., Olivé, I., Navarro, G., 2021. Using a UAV-mounted multispectral camera for the monitoring of marine macrophytes. Frontiers in Marine Science 1225.</w:t>
      </w:r>
    </w:p>
    <w:bookmarkEnd w:id="473"/>
    <w:bookmarkStart w:id="474" w:name="ref-rossiter2020uav"/>
    <w:p>
      <w:pPr>
        <w:pStyle w:val="Bibliography"/>
      </w:pPr>
      <w:r>
        <w:t xml:space="preserve">Rossiter, T., Furey, T., McCarthy, T., Stengel, D.B., 2020. UAV-mounted hyperspectral mapping of intertidal macroalgae. Estuarine, Coastal and Shelf Science 242, 106789.</w:t>
      </w:r>
    </w:p>
    <w:bookmarkEnd w:id="474"/>
    <w:bookmarkStart w:id="475" w:name="ref-Sage2020"/>
    <w:p>
      <w:pPr>
        <w:pStyle w:val="Bibliography"/>
      </w:pPr>
      <w:r>
        <w:t xml:space="preserve">Sage, R.F., 2020. Global change biology: A primer. Global Change Biology 26, 3–30.</w:t>
      </w:r>
    </w:p>
    <w:bookmarkEnd w:id="475"/>
    <w:bookmarkStart w:id="476"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476"/>
    <w:bookmarkStart w:id="477"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477"/>
    <w:bookmarkStart w:id="479"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478">
        <w:r>
          <w:rPr>
            <w:rStyle w:val="Hyperlink"/>
          </w:rPr>
          <w:t xml:space="preserve">https://doi.org/10.1016/j.ecoser.2022.101414</w:t>
        </w:r>
      </w:hyperlink>
    </w:p>
    <w:bookmarkEnd w:id="479"/>
    <w:bookmarkStart w:id="481"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480">
        <w:r>
          <w:rPr>
            <w:rStyle w:val="Hyperlink"/>
          </w:rPr>
          <w:t xml:space="preserve">https://doi.org/10.3389/fevo.2021.767548</w:t>
        </w:r>
      </w:hyperlink>
    </w:p>
    <w:bookmarkEnd w:id="481"/>
    <w:bookmarkStart w:id="482" w:name="ref-Schmidt2003"/>
    <w:p>
      <w:pPr>
        <w:pStyle w:val="Bibliography"/>
      </w:pPr>
      <w:r>
        <w:t xml:space="preserve">Schmidt, K., Skidmore, A., 2003. Spectral discrimination of vegetation types in a coastal wetland. Remote sensing of Environment 85, 92–108.</w:t>
      </w:r>
    </w:p>
    <w:bookmarkEnd w:id="482"/>
    <w:bookmarkStart w:id="483" w:name="ref-schneider2012nih"/>
    <w:p>
      <w:pPr>
        <w:pStyle w:val="Bibliography"/>
      </w:pPr>
      <w:r>
        <w:t xml:space="preserve">Schneider, C.A., Rasband, W.S., Eliceiri, K.W., 2012. NIH image to ImageJ: 25 years of image analysis. Nature methods 9, 671–675.</w:t>
      </w:r>
    </w:p>
    <w:bookmarkEnd w:id="483"/>
    <w:bookmarkStart w:id="484" w:name="ref-schreyers2021spotting"/>
    <w:p>
      <w:pPr>
        <w:pStyle w:val="Bibliography"/>
      </w:pPr>
      <w:r>
        <w:t xml:space="preserve">Schreyers, L., Emmerik, T. van, Biermann, L., Le Lay, Y.-F., 2021a. Spotting green tides over brittany from space: Three decades of monitoring with landsat imagery. Remote Sensing 13, 1408.</w:t>
      </w:r>
    </w:p>
    <w:bookmarkEnd w:id="484"/>
    <w:bookmarkStart w:id="486" w:name="ref-rs13081408"/>
    <w:p>
      <w:pPr>
        <w:pStyle w:val="Bibliography"/>
      </w:pPr>
      <w:r>
        <w:t xml:space="preserve">Schreyers, L., Emmerik, T. van, Biermann, L., Le Lay, Y.-F., 2021b. Spotting green tides over brittany from space: Three decades of monitoring with landsat imagery. Remote Sensing 13.</w:t>
      </w:r>
      <w:r>
        <w:t xml:space="preserve"> </w:t>
      </w:r>
      <w:hyperlink r:id="rId485">
        <w:r>
          <w:rPr>
            <w:rStyle w:val="Hyperlink"/>
          </w:rPr>
          <w:t xml:space="preserve">https://doi.org/10.3390/rs13081408</w:t>
        </w:r>
      </w:hyperlink>
    </w:p>
    <w:bookmarkEnd w:id="486"/>
    <w:bookmarkStart w:id="488"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487">
        <w:r>
          <w:rPr>
            <w:rStyle w:val="Hyperlink"/>
          </w:rPr>
          <w:t xml:space="preserve">https://doi.org/10.1016/j.marenvres.2021.105475</w:t>
        </w:r>
      </w:hyperlink>
    </w:p>
    <w:bookmarkEnd w:id="488"/>
    <w:bookmarkStart w:id="489"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489"/>
    <w:bookmarkStart w:id="491" w:name="ref-shom"/>
    <w:p>
      <w:pPr>
        <w:pStyle w:val="Bibliography"/>
      </w:pPr>
      <w:r>
        <w:t xml:space="preserve">SHOM, 2024.</w:t>
      </w:r>
      <w:r>
        <w:t xml:space="preserve"> </w:t>
      </w:r>
      <w:hyperlink r:id="rId490">
        <w:r>
          <w:rPr>
            <w:rStyle w:val="Hyperlink"/>
          </w:rPr>
          <w:t xml:space="preserve">Service hydrographique et océanographique de la marine (SHOM)</w:t>
        </w:r>
      </w:hyperlink>
      <w:r>
        <w:t xml:space="preserve">.</w:t>
      </w:r>
    </w:p>
    <w:bookmarkEnd w:id="491"/>
    <w:bookmarkStart w:id="493" w:name="Xbef41143b4d4042e58f11cfc27e216202646012"/>
    <w:p>
      <w:pPr>
        <w:pStyle w:val="Bibliography"/>
      </w:pPr>
      <w:r>
        <w:t xml:space="preserve">SHOM, 2021.</w:t>
      </w:r>
      <w:r>
        <w:t xml:space="preserve"> </w:t>
      </w:r>
      <w:hyperlink r:id="rId492">
        <w:r>
          <w:rPr>
            <w:rStyle w:val="Hyperlink"/>
          </w:rPr>
          <w:t xml:space="preserve">Service hydrographique et océanographique de la marine ; bathymétrie Litto3D® bretagne 2018-2021</w:t>
        </w:r>
      </w:hyperlink>
      <w:r>
        <w:t xml:space="preserve">.</w:t>
      </w:r>
    </w:p>
    <w:bookmarkEnd w:id="493"/>
    <w:bookmarkStart w:id="494"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494"/>
    <w:bookmarkStart w:id="496" w:name="ref-Slaton2001"/>
    <w:p>
      <w:pPr>
        <w:pStyle w:val="Bibliography"/>
      </w:pPr>
      <w:r>
        <w:t xml:space="preserve">Slaton, M.R., Raymond Hunt Jr., E., Smith, W.K., 2001. Estimating near-infrared leaf reflectance from leaf structural characteristics. American Journal of Botany 88, 278–284. https://doi.org/</w:t>
      </w:r>
      <w:hyperlink r:id="rId495">
        <w:r>
          <w:rPr>
            <w:rStyle w:val="Hyperlink"/>
          </w:rPr>
          <w:t xml:space="preserve">https://doi.org/10.2307/2657019</w:t>
        </w:r>
      </w:hyperlink>
    </w:p>
    <w:bookmarkEnd w:id="496"/>
    <w:bookmarkStart w:id="497"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497"/>
    <w:bookmarkStart w:id="498"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498"/>
    <w:bookmarkStart w:id="499"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499"/>
    <w:bookmarkStart w:id="500" w:name="ref-steinmetz2011atmospheric"/>
    <w:p>
      <w:pPr>
        <w:pStyle w:val="Bibliography"/>
      </w:pPr>
      <w:r>
        <w:t xml:space="preserve">Steinmetz, F., Deschamps, P.-Y., Ramon, D., 2011. Atmospheric correction in presence of sun glint: Application to MERIS. Optics express 19, 9783–9800.</w:t>
      </w:r>
    </w:p>
    <w:bookmarkEnd w:id="500"/>
    <w:bookmarkStart w:id="501"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501"/>
    <w:bookmarkStart w:id="502"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502"/>
    <w:bookmarkStart w:id="503"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503"/>
    <w:bookmarkStart w:id="504"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504"/>
    <w:bookmarkStart w:id="505"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505"/>
    <w:bookmarkStart w:id="507" w:name="ref-Traganos2018"/>
    <w:p>
      <w:pPr>
        <w:pStyle w:val="Bibliography"/>
      </w:pPr>
      <w:r>
        <w:t xml:space="preserve">Traganos, D., Reinartz, P., 2018. Mapping mediterranean seagrasses with sentinel-2 imagery. Marine Pollution Bulletin 134, 197–209.</w:t>
      </w:r>
      <w:r>
        <w:t xml:space="preserve"> </w:t>
      </w:r>
      <w:hyperlink r:id="rId506">
        <w:r>
          <w:rPr>
            <w:rStyle w:val="Hyperlink"/>
          </w:rPr>
          <w:t xml:space="preserve">https://doi.org/10.1016/j.marpolbul.2017.06.075</w:t>
        </w:r>
      </w:hyperlink>
    </w:p>
    <w:bookmarkEnd w:id="507"/>
    <w:bookmarkStart w:id="508"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508"/>
    <w:bookmarkStart w:id="509"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509"/>
    <w:bookmarkStart w:id="510" w:name="ref-Unsworth2022"/>
    <w:p>
      <w:pPr>
        <w:pStyle w:val="Bibliography"/>
      </w:pPr>
      <w:r>
        <w:t xml:space="preserve">Unsworth, R.K., Cullen-Unsworth, L.C., Jones, B.L., Lilley, R.J., 2022a. The planetary role of seagrass conservation. Science 377, 609–613.</w:t>
      </w:r>
    </w:p>
    <w:bookmarkEnd w:id="510"/>
    <w:bookmarkStart w:id="511" w:name="ref-unsworth2022"/>
    <w:p>
      <w:pPr>
        <w:pStyle w:val="Bibliography"/>
      </w:pPr>
      <w:r>
        <w:t xml:space="preserve">Unsworth, R.K., Cullen-Unsworth, L.C., Jones, B.L., Lilley, R.J., 2022b. The planetary role of seagrass conservation. Science 377, 609–613.</w:t>
      </w:r>
    </w:p>
    <w:bookmarkEnd w:id="511"/>
    <w:bookmarkStart w:id="513" w:name="ref-Unsworth2019"/>
    <w:p>
      <w:pPr>
        <w:pStyle w:val="Bibliography"/>
      </w:pPr>
      <w:r>
        <w:t xml:space="preserve">Unsworth, R.K.F., McKenzie, L.J., Collier, C.J., Cullen-Unsworth, L.C., Duarte, C.M., Eklöf, J.S., Jarvis, J.C., Jones, B.L., Nordlund, L.M., 2019a.</w:t>
      </w:r>
      <w:r>
        <w:t xml:space="preserve"> </w:t>
      </w:r>
      <w:r>
        <w:t xml:space="preserve">Global challenges for seagrass conservation</w:t>
      </w:r>
      <w:r>
        <w:t xml:space="preserve">. Ambio 48, 801–815.</w:t>
      </w:r>
      <w:r>
        <w:t xml:space="preserve"> </w:t>
      </w:r>
      <w:hyperlink r:id="rId512">
        <w:r>
          <w:rPr>
            <w:rStyle w:val="Hyperlink"/>
          </w:rPr>
          <w:t xml:space="preserve">https://doi.org/10.1007/s13280-018-1115-y</w:t>
        </w:r>
      </w:hyperlink>
    </w:p>
    <w:bookmarkEnd w:id="513"/>
    <w:bookmarkStart w:id="515" w:name="ref-Unsworth2019a"/>
    <w:p>
      <w:pPr>
        <w:pStyle w:val="Bibliography"/>
      </w:pPr>
      <w:r>
        <w:t xml:space="preserve">Unsworth, R.K.F., Nordlund, L.M., Cullen-Unsworth, L.C., 2019b.</w:t>
      </w:r>
      <w:r>
        <w:t xml:space="preserve"> </w:t>
      </w:r>
      <w:r>
        <w:t xml:space="preserve">Seagrass meadows support global fisheries production</w:t>
      </w:r>
      <w:r>
        <w:t xml:space="preserve">. Conservation Letters 12, 1–8.</w:t>
      </w:r>
      <w:r>
        <w:t xml:space="preserve"> </w:t>
      </w:r>
      <w:hyperlink r:id="rId514">
        <w:r>
          <w:rPr>
            <w:rStyle w:val="Hyperlink"/>
          </w:rPr>
          <w:t xml:space="preserve">https://doi.org/10.1111/conl.12566</w:t>
        </w:r>
      </w:hyperlink>
    </w:p>
    <w:bookmarkEnd w:id="515"/>
    <w:bookmarkStart w:id="516" w:name="ref-unsworth2019global"/>
    <w:p>
      <w:pPr>
        <w:pStyle w:val="Bibliography"/>
      </w:pPr>
      <w:r>
        <w:t xml:space="preserve">Unsworth, R.K., McKenzie, L.J., Collier, C.J., Cullen-Unsworth, L.C., Duarte, C.M., Eklöf, J.S., Jarvis, J.C., Jones, B.L., Nordlund, L.M., 2019. Global challenges for seagrass conservation. Ambio 48, 801–815.</w:t>
      </w:r>
    </w:p>
    <w:bookmarkEnd w:id="516"/>
    <w:bookmarkStart w:id="517" w:name="ref-Ustin2020"/>
    <w:p>
      <w:pPr>
        <w:pStyle w:val="Bibliography"/>
      </w:pPr>
      <w:r>
        <w:t xml:space="preserve">Ustin, S.L., Jacquemoud, S., 2020. How the optical properties of leaves modify the absorption and scattering of energy and enhance leaf functionality, in: Remote Sensing of Plant Biodiversity. Springer, Cham, pp. 349–384.</w:t>
      </w:r>
    </w:p>
    <w:bookmarkEnd w:id="517"/>
    <w:bookmarkStart w:id="519"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518">
        <w:r>
          <w:rPr>
            <w:rStyle w:val="Hyperlink"/>
          </w:rPr>
          <w:t xml:space="preserve">https://doi.org/10.1641/0006-3568(2004)054[0523:UISTSE]2.0.CO;2</w:t>
        </w:r>
      </w:hyperlink>
    </w:p>
    <w:bookmarkEnd w:id="519"/>
    <w:bookmarkStart w:id="520" w:name="ref-valderrama2013social"/>
    <w:p>
      <w:pPr>
        <w:pStyle w:val="Bibliography"/>
      </w:pPr>
      <w:r>
        <w:t xml:space="preserve">Valderrama, D., Cai, J., Hishamunda, N., Ridler, N., 2013. Social and economic dimensions of carrageenan seaweed farming.</w:t>
      </w:r>
    </w:p>
    <w:bookmarkEnd w:id="520"/>
    <w:bookmarkStart w:id="522"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521">
        <w:r>
          <w:rPr>
            <w:rStyle w:val="Hyperlink"/>
          </w:rPr>
          <w:t xml:space="preserve">https://doi.org/10.1127/0340-269X/2003/0033-0187</w:t>
        </w:r>
      </w:hyperlink>
    </w:p>
    <w:bookmarkEnd w:id="522"/>
    <w:bookmarkStart w:id="523"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523"/>
    <w:bookmarkStart w:id="524" w:name="ref-Veettil2020"/>
    <w:p>
      <w:pPr>
        <w:pStyle w:val="Bibliography"/>
      </w:pPr>
      <w:r>
        <w:t xml:space="preserve">Veettil, B.K., Ward, R.D., Lima, M.D.A.C., Stankovic, M., Hoai, P.N., Quang, N.X., 2020a. Opportunities for seagrass research derived from remote sensing: A review of current methods. Ecological Indicators 117, 106560.</w:t>
      </w:r>
    </w:p>
    <w:bookmarkEnd w:id="524"/>
    <w:bookmarkStart w:id="525" w:name="ref-veettil2020opportunities"/>
    <w:p>
      <w:pPr>
        <w:pStyle w:val="Bibliography"/>
      </w:pPr>
      <w:r>
        <w:t xml:space="preserve">Veettil, B.K., Ward, R.D., Lima, M.D.A.C., Stankovic, M., Hoai, P.N., Quang, N.X., 2020b. Opportunities for seagrass research derived from remote sensing: A review of current methods. Ecological Indicators 117, 106560.</w:t>
      </w:r>
    </w:p>
    <w:bookmarkEnd w:id="525"/>
    <w:bookmarkStart w:id="526"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526"/>
    <w:bookmarkStart w:id="527"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527"/>
    <w:bookmarkStart w:id="528" w:name="ref-wang2022"/>
    <w:p>
      <w:pPr>
        <w:pStyle w:val="Bibliography"/>
      </w:pPr>
      <w:r>
        <w:t xml:space="preserve">Wang, Z., Fang, Z., Liang, J., Song, X., 2022. Assessment of global habitat suitability and risk of ocean green tides. Harmful Algae 119, 102324.</w:t>
      </w:r>
    </w:p>
    <w:bookmarkEnd w:id="528"/>
    <w:bookmarkStart w:id="530" w:name="ref-WEI2015399"/>
    <w:p>
      <w:pPr>
        <w:pStyle w:val="Bibliography"/>
      </w:pPr>
      <w:r>
        <w:t xml:space="preserve">Wei, P., Lu, Z., Song, J., 2015. Variable importance analysis: A comprehensive review. Reliability Engineering and System Safety 142, 399–432. https://doi.org/</w:t>
      </w:r>
      <w:hyperlink r:id="rId529">
        <w:r>
          <w:rPr>
            <w:rStyle w:val="Hyperlink"/>
          </w:rPr>
          <w:t xml:space="preserve">https://doi.org/10.1016/j.ress.2015.05.018</w:t>
        </w:r>
      </w:hyperlink>
    </w:p>
    <w:bookmarkEnd w:id="530"/>
    <w:bookmarkStart w:id="531"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531"/>
    <w:bookmarkStart w:id="533" w:name="ref-R-ranger"/>
    <w:p>
      <w:pPr>
        <w:pStyle w:val="Bibliography"/>
      </w:pPr>
      <w:r>
        <w:t xml:space="preserve">Wright, M.N., 2024.</w:t>
      </w:r>
      <w:r>
        <w:t xml:space="preserve"> </w:t>
      </w:r>
      <w:hyperlink r:id="rId532">
        <w:r>
          <w:rPr>
            <w:rStyle w:val="Hyperlink"/>
          </w:rPr>
          <w:t xml:space="preserve">Ranger: A fast implementation of random forests</w:t>
        </w:r>
      </w:hyperlink>
      <w:r>
        <w:t xml:space="preserve">.</w:t>
      </w:r>
    </w:p>
    <w:bookmarkEnd w:id="533"/>
    <w:bookmarkStart w:id="534"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534"/>
    <w:bookmarkStart w:id="536"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535">
        <w:r>
          <w:rPr>
            <w:rStyle w:val="Hyperlink"/>
          </w:rPr>
          <w:t xml:space="preserve">https://doi.org/10.1155/2017/1353691</w:t>
        </w:r>
      </w:hyperlink>
    </w:p>
    <w:bookmarkEnd w:id="536"/>
    <w:bookmarkStart w:id="537"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537"/>
    <w:bookmarkStart w:id="538" w:name="ref-zhu2021deep"/>
    <w:p>
      <w:pPr>
        <w:pStyle w:val="Bibliography"/>
      </w:pPr>
      <w:r>
        <w:t xml:space="preserve">Zhu, Y., Huang, R., Wu, Z., Song, S., Cheng, L., Zhu, R., 2021. Deep learning-based predictive identification of neural stem cell differentiation. Nature communications 12, 2614.</w:t>
      </w:r>
    </w:p>
    <w:bookmarkEnd w:id="538"/>
    <w:bookmarkStart w:id="539" w:name="ref-zoffoli2021decadal"/>
    <w:p>
      <w:pPr>
        <w:pStyle w:val="Bibliography"/>
      </w:pPr>
      <w:r>
        <w:t xml:space="preserve">Zoffoli, M.L., Gernez, P., Godet, L., Peters, S., Oiry, S., Barillé, L., 2021a. Decadal increase in the ecological status of a north-atlantic intertidal seagrass meadow observed with multi-mission satellite time-series. Ecological Indicators 130, 108033.</w:t>
      </w:r>
    </w:p>
    <w:bookmarkEnd w:id="539"/>
    <w:bookmarkStart w:id="541" w:name="ref-Zoffoli2021"/>
    <w:p>
      <w:pPr>
        <w:pStyle w:val="Bibliography"/>
      </w:pPr>
      <w:r>
        <w:t xml:space="preserve">Zoffoli, M.L., Gernez, P., Godet, L., Peters, S., Oiry, S., Barillé, L., 2021b. Decadal increase in the ecological status of a north-atlantic intertidal seagrass meadow observed with multi-mission satellite time-series. Ecological Indicators 130, 108033.</w:t>
      </w:r>
      <w:r>
        <w:t xml:space="preserve"> </w:t>
      </w:r>
      <w:hyperlink r:id="rId540">
        <w:r>
          <w:rPr>
            <w:rStyle w:val="Hyperlink"/>
          </w:rPr>
          <w:t xml:space="preserve">https://doi.org/10.1016/j.ecolind.2021.108033</w:t>
        </w:r>
      </w:hyperlink>
    </w:p>
    <w:bookmarkEnd w:id="541"/>
    <w:bookmarkStart w:id="542"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542"/>
    <w:bookmarkStart w:id="543"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
        <w:r>
          <w:rPr>
            <w:rStyle w:val="Hyperlink"/>
          </w:rPr>
          <w:t xml:space="preserve">https://doi.org/10.1002/rse2.319</w:t>
        </w:r>
      </w:hyperlink>
    </w:p>
    <w:bookmarkEnd w:id="543"/>
    <w:bookmarkStart w:id="544" w:name="ref-zoffoli2020sentinel"/>
    <w:p>
      <w:pPr>
        <w:pStyle w:val="Bibliography"/>
      </w:pPr>
      <w:r>
        <w:t xml:space="preserve">Zoffoli, M.L., Gernez, P., Rosa, P., Le Bris, A., Brando, Vittorio E., Barillé, A.-L., Harin, N., Peters, S., Poser, K., Spaias, L., others, 2020a. Sentinel-2 remote sensing of zostera noltei-dominated intertidal seagrass meadows. Remote Sensing of Environment 251, 112020.</w:t>
      </w:r>
    </w:p>
    <w:bookmarkEnd w:id="544"/>
    <w:bookmarkStart w:id="546" w:name="ref-ZOFFOLI2020112020"/>
    <w:p>
      <w:pPr>
        <w:pStyle w:val="Bibliography"/>
      </w:pPr>
      <w:r>
        <w:t xml:space="preserve">Zoffoli, M.L., Gernez, P., Rosa, P., Le Bris, A., Brando, Vittorio E., Barillé, A.-L., Harin, N., Peters, S., Poser, K., Spaias, L., Peralta, G., Barillé, L., 2020b. Sentinel-2 remote sensing of zostera noltei-dominated intertidal seagrass meadows. Remote Sensing of Environment 251, 112020. https://doi.org/</w:t>
      </w:r>
      <w:hyperlink r:id="rId545">
        <w:r>
          <w:rPr>
            <w:rStyle w:val="Hyperlink"/>
          </w:rPr>
          <w:t xml:space="preserve">https://doi.org/10.1016/j.rse.2020.112020</w:t>
        </w:r>
      </w:hyperlink>
    </w:p>
    <w:bookmarkEnd w:id="546"/>
    <w:bookmarkStart w:id="547" w:name="ref-Zoffoli2020"/>
    <w:p>
      <w:pPr>
        <w:pStyle w:val="Bibliography"/>
      </w:pPr>
      <w:r>
        <w:t xml:space="preserve">Zoffoli, M.L., Gernez, P., Rosa, P., Le Bris, A., Brando, Vittorio E., Barillé, A.L., Harin, N., Peters, S., Poser, K., Spaias, L., Peralta, G., Barillé, L., 2020c.</w:t>
      </w:r>
      <w:r>
        <w:t xml:space="preserve"> </w:t>
      </w:r>
      <w:r>
        <w:t xml:space="preserve">Sentinel-2 remote sensing of Zostera noltei-dominated intertidal seagrass meadows</w:t>
      </w:r>
      <w:r>
        <w:t xml:space="preserve">. Remote Sensing of Environment 251, 112020.</w:t>
      </w:r>
      <w:r>
        <w:t xml:space="preserve"> </w:t>
      </w:r>
      <w:hyperlink r:id="rId545">
        <w:r>
          <w:rPr>
            <w:rStyle w:val="Hyperlink"/>
          </w:rPr>
          <w:t xml:space="preserve">https://doi.org/10.1016/j.rse.2020.112020</w:t>
        </w:r>
      </w:hyperlink>
    </w:p>
    <w:bookmarkEnd w:id="547"/>
    <w:bookmarkEnd w:id="548"/>
    <w:bookmarkEnd w:id="549"/>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24" Target="media/rId24.png" /><Relationship Type="http://schemas.openxmlformats.org/officeDocument/2006/relationships/image" Id="rId45" Target="media/rId45.png" /><Relationship Type="http://schemas.openxmlformats.org/officeDocument/2006/relationships/image" Id="rId75" Target="media/rId75.png" /><Relationship Type="http://schemas.openxmlformats.org/officeDocument/2006/relationships/image" Id="rId67" Target="media/rId67.png" /><Relationship Type="http://schemas.openxmlformats.org/officeDocument/2006/relationships/image" Id="rId62" Target="media/rId62.png" /><Relationship Type="http://schemas.openxmlformats.org/officeDocument/2006/relationships/image" Id="rId90" Target="media/rId90.jpg" /><Relationship Type="http://schemas.openxmlformats.org/officeDocument/2006/relationships/image" Id="rId94" Target="media/rId94.jpg" /><Relationship Type="http://schemas.openxmlformats.org/officeDocument/2006/relationships/image" Id="rId99" Target="media/rId99.jpg" /><Relationship Type="http://schemas.openxmlformats.org/officeDocument/2006/relationships/image" Id="rId108" Target="media/rId108.jpg" /><Relationship Type="http://schemas.openxmlformats.org/officeDocument/2006/relationships/image" Id="rId113" Target="media/rId113.jpg" /><Relationship Type="http://schemas.openxmlformats.org/officeDocument/2006/relationships/image" Id="rId118" Target="media/rId118.jpg" /><Relationship Type="http://schemas.openxmlformats.org/officeDocument/2006/relationships/image" Id="rId126" Target="media/rId126.jpg" /><Relationship Type="http://schemas.openxmlformats.org/officeDocument/2006/relationships/image" Id="rId130" Target="media/rId130.jpg" /><Relationship Type="http://schemas.openxmlformats.org/officeDocument/2006/relationships/image" Id="rId135" Target="media/rId135.jp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42" Target="media/rId142.png" /><Relationship Type="http://schemas.openxmlformats.org/officeDocument/2006/relationships/image" Id="rId153" Target="media/rId153.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163" Target="media/rId163.png" /><Relationship Type="http://schemas.openxmlformats.org/officeDocument/2006/relationships/image" Id="rId170" Target="media/rId170.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158" Target="media/rId158.png" /><Relationship Type="http://schemas.openxmlformats.org/officeDocument/2006/relationships/image" Id="rId174" Target="media/rId174.png" /><Relationship Type="http://schemas.openxmlformats.org/officeDocument/2006/relationships/hyperlink" Id="rId253" Target="http://prisma.asi.it/missionselect/docs/PRISMA%20Product%20Specifications_Is2_3.pdf" TargetMode="External" /><Relationship Type="http://schemas.openxmlformats.org/officeDocument/2006/relationships/hyperlink" Id="rId29" Target="https://blue-economy-observatory.ec.europa.eu/eu-blue-economy-sectors/coastal-tourism_en" TargetMode="External" /><Relationship Type="http://schemas.openxmlformats.org/officeDocument/2006/relationships/hyperlink" Id="rId428"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84" Target="https://doi.org/10.1007/s00227-012-1987-5" TargetMode="External" /><Relationship Type="http://schemas.openxmlformats.org/officeDocument/2006/relationships/hyperlink" Id="rId266" Target="https://doi.org/10.1007/s003380050055" TargetMode="External" /><Relationship Type="http://schemas.openxmlformats.org/officeDocument/2006/relationships/hyperlink" Id="rId268" Target="https://doi.org/10.1007/s12237-021-00949-8" TargetMode="External" /><Relationship Type="http://schemas.openxmlformats.org/officeDocument/2006/relationships/hyperlink" Id="rId512" Target="https://doi.org/10.1007/s13280-018-1115-y" TargetMode="External" /><Relationship Type="http://schemas.openxmlformats.org/officeDocument/2006/relationships/hyperlink" Id="rId287" Target="https://doi.org/10.1016/j.algal.2017.04.021" TargetMode="External" /><Relationship Type="http://schemas.openxmlformats.org/officeDocument/2006/relationships/hyperlink" Id="rId263" Target="https://doi.org/10.1016/j.aquabot.2009.11.006" TargetMode="External" /><Relationship Type="http://schemas.openxmlformats.org/officeDocument/2006/relationships/hyperlink" Id="rId282" Target="https://doi.org/10.1016/j.csr.2013.01.010" TargetMode="External" /><Relationship Type="http://schemas.openxmlformats.org/officeDocument/2006/relationships/hyperlink" Id="rId297" Target="https://doi.org/10.1016/j.ecolind.2020.107018" TargetMode="External" /><Relationship Type="http://schemas.openxmlformats.org/officeDocument/2006/relationships/hyperlink" Id="rId445" Target="https://doi.org/10.1016/j.ecolind.2020.107184" TargetMode="External" /><Relationship Type="http://schemas.openxmlformats.org/officeDocument/2006/relationships/hyperlink" Id="rId540" Target="https://doi.org/10.1016/j.ecolind.2021.108033" TargetMode="External" /><Relationship Type="http://schemas.openxmlformats.org/officeDocument/2006/relationships/hyperlink" Id="rId478" Target="https://doi.org/10.1016/j.ecoser.2022.101414" TargetMode="External" /><Relationship Type="http://schemas.openxmlformats.org/officeDocument/2006/relationships/hyperlink" Id="rId385" Target="https://doi.org/10.1016/j.ecss.2005.12.004" TargetMode="External" /><Relationship Type="http://schemas.openxmlformats.org/officeDocument/2006/relationships/hyperlink" Id="rId339" Target="https://doi.org/10.1016/j.ecss.2021.107320" TargetMode="External" /><Relationship Type="http://schemas.openxmlformats.org/officeDocument/2006/relationships/hyperlink" Id="rId356" Target="https://doi.org/10.1016/j.envpol.2021.117731" TargetMode="External" /><Relationship Type="http://schemas.openxmlformats.org/officeDocument/2006/relationships/hyperlink" Id="rId258" Target="https://doi.org/10.1016/j.jembe.2013.04.012" TargetMode="External" /><Relationship Type="http://schemas.openxmlformats.org/officeDocument/2006/relationships/hyperlink" Id="rId414" Target="https://doi.org/10.1016/j.jphotobiol.2013.10.005" TargetMode="External" /><Relationship Type="http://schemas.openxmlformats.org/officeDocument/2006/relationships/hyperlink" Id="rId487" Target="https://doi.org/10.1016/j.marenvres.2021.105475" TargetMode="External" /><Relationship Type="http://schemas.openxmlformats.org/officeDocument/2006/relationships/hyperlink" Id="rId506" Target="https://doi.org/10.1016/j.marpolbul.2017.06.075" TargetMode="External" /><Relationship Type="http://schemas.openxmlformats.org/officeDocument/2006/relationships/hyperlink" Id="rId529" Target="https://doi.org/10.1016/j.ress.2015.05.018" TargetMode="External" /><Relationship Type="http://schemas.openxmlformats.org/officeDocument/2006/relationships/hyperlink" Id="rId261" Target="https://doi.org/10.1016/j.rse.2010.12.008" TargetMode="External" /><Relationship Type="http://schemas.openxmlformats.org/officeDocument/2006/relationships/hyperlink" Id="rId315" Target="https://doi.org/10.1016/j.rse.2015.01.027" TargetMode="External" /><Relationship Type="http://schemas.openxmlformats.org/officeDocument/2006/relationships/hyperlink" Id="rId353" Target="https://doi.org/10.1016/j.rse.2015.05.023" TargetMode="External" /><Relationship Type="http://schemas.openxmlformats.org/officeDocument/2006/relationships/hyperlink" Id="rId359" Target="https://doi.org/10.1016/j.rse.2017.01.037" TargetMode="External" /><Relationship Type="http://schemas.openxmlformats.org/officeDocument/2006/relationships/hyperlink" Id="rId438" Target="https://doi.org/10.1016/j.rse.2018.10.032" TargetMode="External" /><Relationship Type="http://schemas.openxmlformats.org/officeDocument/2006/relationships/hyperlink" Id="rId545" Target="https://doi.org/10.1016/j.rse.2020.112020" TargetMode="External" /><Relationship Type="http://schemas.openxmlformats.org/officeDocument/2006/relationships/hyperlink" Id="rId302" Target="https://doi.org/10.1016/j.rse.2023.113554" TargetMode="External" /><Relationship Type="http://schemas.openxmlformats.org/officeDocument/2006/relationships/hyperlink" Id="rId425" Target="https://doi.org/10.1017/s0031182002001476" TargetMode="External" /><Relationship Type="http://schemas.openxmlformats.org/officeDocument/2006/relationships/hyperlink" Id="rId433" Target="https://doi.org/10.1038/s41586-018-0805-8" TargetMode="External" /><Relationship Type="http://schemas.openxmlformats.org/officeDocument/2006/relationships/hyperlink" Id="rId422" Target="https://doi.org/10.1038/s41598-021-83597-z" TargetMode="External" /><Relationship Type="http://schemas.openxmlformats.org/officeDocument/2006/relationships/hyperlink" Id="rId379" Target="https://doi.org/10.1063/1.44433" TargetMode="External" /><Relationship Type="http://schemas.openxmlformats.org/officeDocument/2006/relationships/hyperlink" Id="rId419" Target="https://doi.org/10.1111/GCB.14108" TargetMode="External" /><Relationship Type="http://schemas.openxmlformats.org/officeDocument/2006/relationships/hyperlink" Id="rId514" Target="https://doi.org/10.1111/conl.12566" TargetMode="External" /><Relationship Type="http://schemas.openxmlformats.org/officeDocument/2006/relationships/hyperlink" Id="rId521" Target="https://doi.org/10.1127/0340-269X/2003/0033-0187" TargetMode="External" /><Relationship Type="http://schemas.openxmlformats.org/officeDocument/2006/relationships/hyperlink" Id="rId278" Target="https://doi.org/10.1139/cjfas-2016-0137" TargetMode="External" /><Relationship Type="http://schemas.openxmlformats.org/officeDocument/2006/relationships/hyperlink" Id="rId535" Target="https://doi.org/10.1155/2017/1353691" TargetMode="External" /><Relationship Type="http://schemas.openxmlformats.org/officeDocument/2006/relationships/hyperlink" Id="rId371" Target="https://doi.org/10.1177/0309133309339563" TargetMode="External" /><Relationship Type="http://schemas.openxmlformats.org/officeDocument/2006/relationships/hyperlink" Id="rId307" Target="https://doi.org/10.15468/n4ak6x" TargetMode="External" /><Relationship Type="http://schemas.openxmlformats.org/officeDocument/2006/relationships/hyperlink" Id="rId518" Target="https://doi.org/10.1641/0006-3568(2004)054[0523:UISTSE]2.0.CO;2" TargetMode="External" /><Relationship Type="http://schemas.openxmlformats.org/officeDocument/2006/relationships/hyperlink" Id="rId495" Target="https://doi.org/10.2307/2657019" TargetMode="External" /><Relationship Type="http://schemas.openxmlformats.org/officeDocument/2006/relationships/hyperlink" Id="rId480" Target="https://doi.org/10.3389/fevo.2021.767548" TargetMode="External" /><Relationship Type="http://schemas.openxmlformats.org/officeDocument/2006/relationships/hyperlink" Id="rId471" Target="https://doi.org/10.3389/fmars.2022.1004012" TargetMode="External" /><Relationship Type="http://schemas.openxmlformats.org/officeDocument/2006/relationships/hyperlink" Id="rId275" Target="https://doi.org/10.3390/RS14020307" TargetMode="External" /><Relationship Type="http://schemas.openxmlformats.org/officeDocument/2006/relationships/hyperlink" Id="rId350" Target="https://doi.org/10.3390/app8122688" TargetMode="External" /><Relationship Type="http://schemas.openxmlformats.org/officeDocument/2006/relationships/hyperlink" Id="rId406" Target="https://doi.org/10.3390/rs11060704" TargetMode="External" /><Relationship Type="http://schemas.openxmlformats.org/officeDocument/2006/relationships/hyperlink" Id="rId450" Target="https://doi.org/10.3390/rs12233870" TargetMode="External" /><Relationship Type="http://schemas.openxmlformats.org/officeDocument/2006/relationships/hyperlink" Id="rId485" Target="https://doi.org/10.3390/rs13081408" TargetMode="External" /><Relationship Type="http://schemas.openxmlformats.org/officeDocument/2006/relationships/hyperlink" Id="rId319" Target="https://doi.org/10.3390/rs14020346" TargetMode="External" /><Relationship Type="http://schemas.openxmlformats.org/officeDocument/2006/relationships/hyperlink" Id="rId335" Target="https://doi.org/10.4319/lo.2003.48.1_part_2.0464" TargetMode="External" /><Relationship Type="http://schemas.openxmlformats.org/officeDocument/2006/relationships/hyperlink" Id="rId454" Target="https://doi.org/10.5281/zenodo.3463051" TargetMode="External" /><Relationship Type="http://schemas.openxmlformats.org/officeDocument/2006/relationships/hyperlink" Id="rId343" Target="https://github.com/koalaverse/vip/" TargetMode="External" /><Relationship Type="http://schemas.openxmlformats.org/officeDocument/2006/relationships/hyperlink" Id="rId381" Target="https://github.com/tidymodels/yardstick" TargetMode="External" /><Relationship Type="http://schemas.openxmlformats.org/officeDocument/2006/relationships/hyperlink" Id="rId448" Target="https://github.com/vegandevs/vegan" TargetMode="External" /><Relationship Type="http://schemas.openxmlformats.org/officeDocument/2006/relationships/hyperlink" Id="rId532" Target="https://imbs-hl.github.io/ranger/" TargetMode="External" /><Relationship Type="http://schemas.openxmlformats.org/officeDocument/2006/relationships/hyperlink" Id="rId273" Target="https://ipbes.net/global-assessment%0Ahttps://ipbes.net/global-assessment-report-biodiversity-ecosystem-services" TargetMode="External" /><Relationship Type="http://schemas.openxmlformats.org/officeDocument/2006/relationships/hyperlink" Id="rId31" Target="https://maritime-union.org/how-much-trade-is-maritime/?utm_source=chatgpt.com" TargetMode="External" /><Relationship Type="http://schemas.openxmlformats.org/officeDocument/2006/relationships/hyperlink" Id="rId332" Target="https://rsample.tidymodels.org" TargetMode="External" /><Relationship Type="http://schemas.openxmlformats.org/officeDocument/2006/relationships/hyperlink" Id="rId492" Target="https://services.data.shom.fr/geonetwork/srv/fre/catalog.search#/metadata/BATHYMETRIE_LITTO3D_BZH_2018_2021.xml" TargetMode="External" /><Relationship Type="http://schemas.openxmlformats.org/officeDocument/2006/relationships/hyperlink" Id="rId464" Target="https://www.R-project.org/" TargetMode="External" /><Relationship Type="http://schemas.openxmlformats.org/officeDocument/2006/relationships/hyperlink" Id="rId249" Target="https://www.agisoft.com/" TargetMode="External" /><Relationship Type="http://schemas.openxmlformats.org/officeDocument/2006/relationships/hyperlink" Id="rId361" Target="https://www.ign.fr" TargetMode="External" /><Relationship Type="http://schemas.openxmlformats.org/officeDocument/2006/relationships/hyperlink" Id="rId368" Target="https://www.imo.org" TargetMode="External" /><Relationship Type="http://schemas.openxmlformats.org/officeDocument/2006/relationships/hyperlink" Id="rId364" Target="https://www.itopf.org/knowledge-resources/data-statistics/statistics/" TargetMode="External" /><Relationship Type="http://schemas.openxmlformats.org/officeDocument/2006/relationships/hyperlink" Id="rId30" Target="https://www.reuters.com/business/environment/aquafarming-becomes-main-global-source-fish-un-food-agency-says-2024-06-07" TargetMode="External" /><Relationship Type="http://schemas.openxmlformats.org/officeDocument/2006/relationships/hyperlink" Id="rId490" Target="https://www.shom.fr" TargetMode="External" /><Relationship Type="http://schemas.openxmlformats.org/officeDocument/2006/relationships/hyperlink" Id="rId383"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253" Target="http://prisma.asi.it/missionselect/docs/PRISMA%20Product%20Specifications_Is2_3.pdf" TargetMode="External" /><Relationship Type="http://schemas.openxmlformats.org/officeDocument/2006/relationships/hyperlink" Id="rId29" Target="https://blue-economy-observatory.ec.europa.eu/eu-blue-economy-sectors/coastal-tourism_en" TargetMode="External" /><Relationship Type="http://schemas.openxmlformats.org/officeDocument/2006/relationships/hyperlink" Id="rId428"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84" Target="https://doi.org/10.1007/s00227-012-1987-5" TargetMode="External" /><Relationship Type="http://schemas.openxmlformats.org/officeDocument/2006/relationships/hyperlink" Id="rId266" Target="https://doi.org/10.1007/s003380050055" TargetMode="External" /><Relationship Type="http://schemas.openxmlformats.org/officeDocument/2006/relationships/hyperlink" Id="rId268" Target="https://doi.org/10.1007/s12237-021-00949-8" TargetMode="External" /><Relationship Type="http://schemas.openxmlformats.org/officeDocument/2006/relationships/hyperlink" Id="rId512" Target="https://doi.org/10.1007/s13280-018-1115-y" TargetMode="External" /><Relationship Type="http://schemas.openxmlformats.org/officeDocument/2006/relationships/hyperlink" Id="rId287" Target="https://doi.org/10.1016/j.algal.2017.04.021" TargetMode="External" /><Relationship Type="http://schemas.openxmlformats.org/officeDocument/2006/relationships/hyperlink" Id="rId263" Target="https://doi.org/10.1016/j.aquabot.2009.11.006" TargetMode="External" /><Relationship Type="http://schemas.openxmlformats.org/officeDocument/2006/relationships/hyperlink" Id="rId282" Target="https://doi.org/10.1016/j.csr.2013.01.010" TargetMode="External" /><Relationship Type="http://schemas.openxmlformats.org/officeDocument/2006/relationships/hyperlink" Id="rId297" Target="https://doi.org/10.1016/j.ecolind.2020.107018" TargetMode="External" /><Relationship Type="http://schemas.openxmlformats.org/officeDocument/2006/relationships/hyperlink" Id="rId445" Target="https://doi.org/10.1016/j.ecolind.2020.107184" TargetMode="External" /><Relationship Type="http://schemas.openxmlformats.org/officeDocument/2006/relationships/hyperlink" Id="rId540" Target="https://doi.org/10.1016/j.ecolind.2021.108033" TargetMode="External" /><Relationship Type="http://schemas.openxmlformats.org/officeDocument/2006/relationships/hyperlink" Id="rId478" Target="https://doi.org/10.1016/j.ecoser.2022.101414" TargetMode="External" /><Relationship Type="http://schemas.openxmlformats.org/officeDocument/2006/relationships/hyperlink" Id="rId385" Target="https://doi.org/10.1016/j.ecss.2005.12.004" TargetMode="External" /><Relationship Type="http://schemas.openxmlformats.org/officeDocument/2006/relationships/hyperlink" Id="rId339" Target="https://doi.org/10.1016/j.ecss.2021.107320" TargetMode="External" /><Relationship Type="http://schemas.openxmlformats.org/officeDocument/2006/relationships/hyperlink" Id="rId356" Target="https://doi.org/10.1016/j.envpol.2021.117731" TargetMode="External" /><Relationship Type="http://schemas.openxmlformats.org/officeDocument/2006/relationships/hyperlink" Id="rId258" Target="https://doi.org/10.1016/j.jembe.2013.04.012" TargetMode="External" /><Relationship Type="http://schemas.openxmlformats.org/officeDocument/2006/relationships/hyperlink" Id="rId414" Target="https://doi.org/10.1016/j.jphotobiol.2013.10.005" TargetMode="External" /><Relationship Type="http://schemas.openxmlformats.org/officeDocument/2006/relationships/hyperlink" Id="rId487" Target="https://doi.org/10.1016/j.marenvres.2021.105475" TargetMode="External" /><Relationship Type="http://schemas.openxmlformats.org/officeDocument/2006/relationships/hyperlink" Id="rId506" Target="https://doi.org/10.1016/j.marpolbul.2017.06.075" TargetMode="External" /><Relationship Type="http://schemas.openxmlformats.org/officeDocument/2006/relationships/hyperlink" Id="rId529" Target="https://doi.org/10.1016/j.ress.2015.05.018" TargetMode="External" /><Relationship Type="http://schemas.openxmlformats.org/officeDocument/2006/relationships/hyperlink" Id="rId261" Target="https://doi.org/10.1016/j.rse.2010.12.008" TargetMode="External" /><Relationship Type="http://schemas.openxmlformats.org/officeDocument/2006/relationships/hyperlink" Id="rId315" Target="https://doi.org/10.1016/j.rse.2015.01.027" TargetMode="External" /><Relationship Type="http://schemas.openxmlformats.org/officeDocument/2006/relationships/hyperlink" Id="rId353" Target="https://doi.org/10.1016/j.rse.2015.05.023" TargetMode="External" /><Relationship Type="http://schemas.openxmlformats.org/officeDocument/2006/relationships/hyperlink" Id="rId359" Target="https://doi.org/10.1016/j.rse.2017.01.037" TargetMode="External" /><Relationship Type="http://schemas.openxmlformats.org/officeDocument/2006/relationships/hyperlink" Id="rId438" Target="https://doi.org/10.1016/j.rse.2018.10.032" TargetMode="External" /><Relationship Type="http://schemas.openxmlformats.org/officeDocument/2006/relationships/hyperlink" Id="rId545" Target="https://doi.org/10.1016/j.rse.2020.112020" TargetMode="External" /><Relationship Type="http://schemas.openxmlformats.org/officeDocument/2006/relationships/hyperlink" Id="rId302" Target="https://doi.org/10.1016/j.rse.2023.113554" TargetMode="External" /><Relationship Type="http://schemas.openxmlformats.org/officeDocument/2006/relationships/hyperlink" Id="rId425" Target="https://doi.org/10.1017/s0031182002001476" TargetMode="External" /><Relationship Type="http://schemas.openxmlformats.org/officeDocument/2006/relationships/hyperlink" Id="rId433" Target="https://doi.org/10.1038/s41586-018-0805-8" TargetMode="External" /><Relationship Type="http://schemas.openxmlformats.org/officeDocument/2006/relationships/hyperlink" Id="rId422" Target="https://doi.org/10.1038/s41598-021-83597-z" TargetMode="External" /><Relationship Type="http://schemas.openxmlformats.org/officeDocument/2006/relationships/hyperlink" Id="rId379" Target="https://doi.org/10.1063/1.44433" TargetMode="External" /><Relationship Type="http://schemas.openxmlformats.org/officeDocument/2006/relationships/hyperlink" Id="rId419" Target="https://doi.org/10.1111/GCB.14108" TargetMode="External" /><Relationship Type="http://schemas.openxmlformats.org/officeDocument/2006/relationships/hyperlink" Id="rId514" Target="https://doi.org/10.1111/conl.12566" TargetMode="External" /><Relationship Type="http://schemas.openxmlformats.org/officeDocument/2006/relationships/hyperlink" Id="rId521" Target="https://doi.org/10.1127/0340-269X/2003/0033-0187" TargetMode="External" /><Relationship Type="http://schemas.openxmlformats.org/officeDocument/2006/relationships/hyperlink" Id="rId278" Target="https://doi.org/10.1139/cjfas-2016-0137" TargetMode="External" /><Relationship Type="http://schemas.openxmlformats.org/officeDocument/2006/relationships/hyperlink" Id="rId535" Target="https://doi.org/10.1155/2017/1353691" TargetMode="External" /><Relationship Type="http://schemas.openxmlformats.org/officeDocument/2006/relationships/hyperlink" Id="rId371" Target="https://doi.org/10.1177/0309133309339563" TargetMode="External" /><Relationship Type="http://schemas.openxmlformats.org/officeDocument/2006/relationships/hyperlink" Id="rId307" Target="https://doi.org/10.15468/n4ak6x" TargetMode="External" /><Relationship Type="http://schemas.openxmlformats.org/officeDocument/2006/relationships/hyperlink" Id="rId518" Target="https://doi.org/10.1641/0006-3568(2004)054[0523:UISTSE]2.0.CO;2" TargetMode="External" /><Relationship Type="http://schemas.openxmlformats.org/officeDocument/2006/relationships/hyperlink" Id="rId495" Target="https://doi.org/10.2307/2657019" TargetMode="External" /><Relationship Type="http://schemas.openxmlformats.org/officeDocument/2006/relationships/hyperlink" Id="rId480" Target="https://doi.org/10.3389/fevo.2021.767548" TargetMode="External" /><Relationship Type="http://schemas.openxmlformats.org/officeDocument/2006/relationships/hyperlink" Id="rId471" Target="https://doi.org/10.3389/fmars.2022.1004012" TargetMode="External" /><Relationship Type="http://schemas.openxmlformats.org/officeDocument/2006/relationships/hyperlink" Id="rId275" Target="https://doi.org/10.3390/RS14020307" TargetMode="External" /><Relationship Type="http://schemas.openxmlformats.org/officeDocument/2006/relationships/hyperlink" Id="rId350" Target="https://doi.org/10.3390/app8122688" TargetMode="External" /><Relationship Type="http://schemas.openxmlformats.org/officeDocument/2006/relationships/hyperlink" Id="rId406" Target="https://doi.org/10.3390/rs11060704" TargetMode="External" /><Relationship Type="http://schemas.openxmlformats.org/officeDocument/2006/relationships/hyperlink" Id="rId450" Target="https://doi.org/10.3390/rs12233870" TargetMode="External" /><Relationship Type="http://schemas.openxmlformats.org/officeDocument/2006/relationships/hyperlink" Id="rId485" Target="https://doi.org/10.3390/rs13081408" TargetMode="External" /><Relationship Type="http://schemas.openxmlformats.org/officeDocument/2006/relationships/hyperlink" Id="rId319" Target="https://doi.org/10.3390/rs14020346" TargetMode="External" /><Relationship Type="http://schemas.openxmlformats.org/officeDocument/2006/relationships/hyperlink" Id="rId335" Target="https://doi.org/10.4319/lo.2003.48.1_part_2.0464" TargetMode="External" /><Relationship Type="http://schemas.openxmlformats.org/officeDocument/2006/relationships/hyperlink" Id="rId454" Target="https://doi.org/10.5281/zenodo.3463051" TargetMode="External" /><Relationship Type="http://schemas.openxmlformats.org/officeDocument/2006/relationships/hyperlink" Id="rId343" Target="https://github.com/koalaverse/vip/" TargetMode="External" /><Relationship Type="http://schemas.openxmlformats.org/officeDocument/2006/relationships/hyperlink" Id="rId381" Target="https://github.com/tidymodels/yardstick" TargetMode="External" /><Relationship Type="http://schemas.openxmlformats.org/officeDocument/2006/relationships/hyperlink" Id="rId448" Target="https://github.com/vegandevs/vegan" TargetMode="External" /><Relationship Type="http://schemas.openxmlformats.org/officeDocument/2006/relationships/hyperlink" Id="rId532" Target="https://imbs-hl.github.io/ranger/" TargetMode="External" /><Relationship Type="http://schemas.openxmlformats.org/officeDocument/2006/relationships/hyperlink" Id="rId273" Target="https://ipbes.net/global-assessment%0Ahttps://ipbes.net/global-assessment-report-biodiversity-ecosystem-services" TargetMode="External" /><Relationship Type="http://schemas.openxmlformats.org/officeDocument/2006/relationships/hyperlink" Id="rId31" Target="https://maritime-union.org/how-much-trade-is-maritime/?utm_source=chatgpt.com" TargetMode="External" /><Relationship Type="http://schemas.openxmlformats.org/officeDocument/2006/relationships/hyperlink" Id="rId332" Target="https://rsample.tidymodels.org" TargetMode="External" /><Relationship Type="http://schemas.openxmlformats.org/officeDocument/2006/relationships/hyperlink" Id="rId492" Target="https://services.data.shom.fr/geonetwork/srv/fre/catalog.search#/metadata/BATHYMETRIE_LITTO3D_BZH_2018_2021.xml" TargetMode="External" /><Relationship Type="http://schemas.openxmlformats.org/officeDocument/2006/relationships/hyperlink" Id="rId464" Target="https://www.R-project.org/" TargetMode="External" /><Relationship Type="http://schemas.openxmlformats.org/officeDocument/2006/relationships/hyperlink" Id="rId249" Target="https://www.agisoft.com/" TargetMode="External" /><Relationship Type="http://schemas.openxmlformats.org/officeDocument/2006/relationships/hyperlink" Id="rId361" Target="https://www.ign.fr" TargetMode="External" /><Relationship Type="http://schemas.openxmlformats.org/officeDocument/2006/relationships/hyperlink" Id="rId368" Target="https://www.imo.org" TargetMode="External" /><Relationship Type="http://schemas.openxmlformats.org/officeDocument/2006/relationships/hyperlink" Id="rId364" Target="https://www.itopf.org/knowledge-resources/data-statistics/statistics/" TargetMode="External" /><Relationship Type="http://schemas.openxmlformats.org/officeDocument/2006/relationships/hyperlink" Id="rId30" Target="https://www.reuters.com/business/environment/aquafarming-becomes-main-global-source-fish-un-food-agency-says-2024-06-07" TargetMode="External" /><Relationship Type="http://schemas.openxmlformats.org/officeDocument/2006/relationships/hyperlink" Id="rId490" Target="https://www.shom.fr" TargetMode="External" /><Relationship Type="http://schemas.openxmlformats.org/officeDocument/2006/relationships/hyperlink" Id="rId383"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2024-12-28T10:09:45Z</dcterms:created>
  <dcterms:modified xsi:type="dcterms:W3CDTF">2024-12-28T10:09:45Z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